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DD0C1" w14:textId="77777777" w:rsidR="006B4FA4" w:rsidRPr="005924B8" w:rsidRDefault="00361980" w:rsidP="0016797F">
      <w:pPr>
        <w:jc w:val="center"/>
        <w:rPr>
          <w:rFonts w:ascii="Book Antiqua" w:hAnsi="Book Antiqua" w:cstheme="majorBidi"/>
          <w:b/>
          <w:bCs/>
          <w:sz w:val="28"/>
          <w:szCs w:val="28"/>
          <w:lang w:val="en-US"/>
        </w:rPr>
      </w:pPr>
      <w:r w:rsidRPr="005924B8">
        <w:rPr>
          <w:rFonts w:ascii="Book Antiqua" w:hAnsi="Book Antiqua" w:cstheme="majorBidi"/>
          <w:b/>
          <w:bCs/>
          <w:noProof/>
          <w:sz w:val="28"/>
          <w:szCs w:val="28"/>
          <w:lang w:val="en-US"/>
        </w:rPr>
        <mc:AlternateContent>
          <mc:Choice Requires="wps">
            <w:drawing>
              <wp:anchor distT="0" distB="0" distL="114300" distR="114300" simplePos="0" relativeHeight="251661824" behindDoc="0" locked="0" layoutInCell="1" allowOverlap="1" wp14:anchorId="5BBF6061" wp14:editId="45194BFC">
                <wp:simplePos x="0" y="0"/>
                <wp:positionH relativeFrom="column">
                  <wp:posOffset>2329815</wp:posOffset>
                </wp:positionH>
                <wp:positionV relativeFrom="paragraph">
                  <wp:posOffset>-570230</wp:posOffset>
                </wp:positionV>
                <wp:extent cx="3268980" cy="318977"/>
                <wp:effectExtent l="0" t="0" r="26670" b="24130"/>
                <wp:wrapNone/>
                <wp:docPr id="6" name="Rectangle 6"/>
                <wp:cNvGraphicFramePr/>
                <a:graphic xmlns:a="http://schemas.openxmlformats.org/drawingml/2006/main">
                  <a:graphicData uri="http://schemas.microsoft.com/office/word/2010/wordprocessingShape">
                    <wps:wsp>
                      <wps:cNvSpPr/>
                      <wps:spPr>
                        <a:xfrm>
                          <a:off x="0" y="0"/>
                          <a:ext cx="3268980" cy="3189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2D42A3" id="Rectangle 6" o:spid="_x0000_s1026" style="position:absolute;margin-left:183.45pt;margin-top:-44.9pt;width:257.4pt;height:25.1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" fillcolor="white [3212]" strokecolor="white [3212]" strokeweight="1pt"/>
            </w:pict>
          </mc:Fallback>
        </mc:AlternateContent>
      </w:r>
      <w:r w:rsidR="0064120E" w:rsidRPr="005924B8">
        <w:rPr>
          <w:rFonts w:ascii="Book Antiqua" w:hAnsi="Book Antiqua" w:cstheme="majorBidi"/>
          <w:b/>
          <w:bCs/>
          <w:noProof/>
          <w:sz w:val="28"/>
          <w:szCs w:val="28"/>
          <w:lang w:val="en-US"/>
        </w:rPr>
        <mc:AlternateContent>
          <mc:Choice Requires="wps">
            <w:drawing>
              <wp:anchor distT="0" distB="0" distL="114300" distR="114300" simplePos="0" relativeHeight="251658752" behindDoc="0" locked="0" layoutInCell="1" allowOverlap="1" wp14:anchorId="7C2F95E3" wp14:editId="48960F43">
                <wp:simplePos x="0" y="0"/>
                <wp:positionH relativeFrom="column">
                  <wp:posOffset>3810</wp:posOffset>
                </wp:positionH>
                <wp:positionV relativeFrom="paragraph">
                  <wp:posOffset>25873</wp:posOffset>
                </wp:positionV>
                <wp:extent cx="5592445" cy="594995"/>
                <wp:effectExtent l="0" t="0" r="27305" b="14605"/>
                <wp:wrapNone/>
                <wp:docPr id="4" name="Rectangle 4"/>
                <wp:cNvGraphicFramePr/>
                <a:graphic xmlns:a="http://schemas.openxmlformats.org/drawingml/2006/main">
                  <a:graphicData uri="http://schemas.microsoft.com/office/word/2010/wordprocessingShape">
                    <wps:wsp>
                      <wps:cNvSpPr/>
                      <wps:spPr>
                        <a:xfrm>
                          <a:off x="0" y="0"/>
                          <a:ext cx="5592445" cy="594995"/>
                        </a:xfrm>
                        <a:prstGeom prst="rect">
                          <a:avLst/>
                        </a:prstGeom>
                        <a:no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7E9481" w14:textId="4273D504" w:rsidR="0064120E" w:rsidRPr="005924B8" w:rsidRDefault="001C406A" w:rsidP="00B704F0">
                            <w:pPr>
                              <w:spacing w:after="0"/>
                              <w:jc w:val="center"/>
                              <w:rPr>
                                <w:rFonts w:ascii="Book Antiqua" w:hAnsi="Book Antiqua" w:cs="Tahoma"/>
                                <w:b/>
                                <w:bCs/>
                                <w:color w:val="000000" w:themeColor="text1"/>
                                <w:sz w:val="24"/>
                                <w:szCs w:val="24"/>
                                <w:lang w:val="en-US"/>
                              </w:rPr>
                            </w:pPr>
                            <w:r>
                              <w:rPr>
                                <w:rFonts w:ascii="Book Antiqua" w:hAnsi="Book Antiqua" w:cs="Tahoma"/>
                                <w:b/>
                                <w:bCs/>
                                <w:color w:val="000000" w:themeColor="text1"/>
                                <w:sz w:val="24"/>
                                <w:szCs w:val="24"/>
                                <w:lang w:val="en-US"/>
                              </w:rPr>
                              <w:t xml:space="preserve">AMEENA </w:t>
                            </w:r>
                            <w:r w:rsidR="00D12484">
                              <w:rPr>
                                <w:rFonts w:ascii="Book Antiqua" w:hAnsi="Book Antiqua" w:cs="Tahoma"/>
                                <w:b/>
                                <w:bCs/>
                                <w:color w:val="000000" w:themeColor="text1"/>
                                <w:sz w:val="24"/>
                                <w:szCs w:val="24"/>
                                <w:lang w:val="en-US"/>
                              </w:rPr>
                              <w:t>JOURNAL</w:t>
                            </w:r>
                          </w:p>
                          <w:p w14:paraId="7C142640" w14:textId="27F74D9C" w:rsidR="0064120E" w:rsidRPr="005924B8" w:rsidRDefault="0064120E" w:rsidP="00FD358D">
                            <w:pPr>
                              <w:spacing w:after="0"/>
                              <w:jc w:val="center"/>
                              <w:rPr>
                                <w:rFonts w:ascii="Book Antiqua" w:hAnsi="Book Antiqua" w:cstheme="majorBidi"/>
                                <w:sz w:val="24"/>
                                <w:szCs w:val="24"/>
                                <w:lang w:val="en-US"/>
                              </w:rPr>
                            </w:pPr>
                            <w:r w:rsidRPr="005924B8">
                              <w:rPr>
                                <w:rFonts w:ascii="Book Antiqua" w:hAnsi="Book Antiqua" w:cstheme="majorBidi"/>
                                <w:color w:val="000000" w:themeColor="text1"/>
                                <w:sz w:val="24"/>
                                <w:szCs w:val="24"/>
                                <w:lang w:val="en-US"/>
                              </w:rPr>
                              <w:t xml:space="preserve">ISSN: </w:t>
                            </w:r>
                            <w:r w:rsidR="00C540F4" w:rsidRPr="00C540F4">
                              <w:rPr>
                                <w:rFonts w:ascii="Book Antiqua" w:hAnsi="Book Antiqua" w:cstheme="majorBidi"/>
                                <w:color w:val="000000" w:themeColor="text1"/>
                                <w:sz w:val="24"/>
                                <w:szCs w:val="24"/>
                                <w:lang w:val="en-US"/>
                              </w:rPr>
                              <w:t>2986-0016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2F95E3" id="Rectangle 4" o:spid="_x0000_s1026" style="position:absolute;left:0;text-align:left;margin-left:.3pt;margin-top:2.05pt;width:440.35pt;height:46.85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" filled="f" strokecolor="white [3212]" strokeweight="1pt">
                <v:textbox>
                  <w:txbxContent>
                    <w:p w14:paraId="7D7E9481" w14:textId="4273D504" w:rsidR="0064120E" w:rsidRPr="005924B8" w:rsidRDefault="001C406A" w:rsidP="00B704F0">
                      <w:pPr>
                        <w:spacing w:after="0"/>
                        <w:jc w:val="center"/>
                        <w:rPr>
                          <w:rFonts w:ascii="Book Antiqua" w:hAnsi="Book Antiqua" w:cs="Tahoma"/>
                          <w:b/>
                          <w:bCs/>
                          <w:color w:val="000000" w:themeColor="text1"/>
                          <w:sz w:val="24"/>
                          <w:szCs w:val="24"/>
                          <w:lang w:val="en-US"/>
                        </w:rPr>
                      </w:pPr>
                      <w:r>
                        <w:rPr>
                          <w:rFonts w:ascii="Book Antiqua" w:hAnsi="Book Antiqua" w:cs="Tahoma"/>
                          <w:b/>
                          <w:bCs/>
                          <w:color w:val="000000" w:themeColor="text1"/>
                          <w:sz w:val="24"/>
                          <w:szCs w:val="24"/>
                          <w:lang w:val="en-US"/>
                        </w:rPr>
                        <w:t xml:space="preserve">AMEENA </w:t>
                      </w:r>
                      <w:r w:rsidR="00D12484">
                        <w:rPr>
                          <w:rFonts w:ascii="Book Antiqua" w:hAnsi="Book Antiqua" w:cs="Tahoma"/>
                          <w:b/>
                          <w:bCs/>
                          <w:color w:val="000000" w:themeColor="text1"/>
                          <w:sz w:val="24"/>
                          <w:szCs w:val="24"/>
                          <w:lang w:val="en-US"/>
                        </w:rPr>
                        <w:t>JOURNAL</w:t>
                      </w:r>
                    </w:p>
                    <w:p w14:paraId="7C142640" w14:textId="27F74D9C" w:rsidR="0064120E" w:rsidRPr="005924B8" w:rsidRDefault="0064120E" w:rsidP="00FD358D">
                      <w:pPr>
                        <w:spacing w:after="0"/>
                        <w:jc w:val="center"/>
                        <w:rPr>
                          <w:rFonts w:ascii="Book Antiqua" w:hAnsi="Book Antiqua" w:cstheme="majorBidi"/>
                          <w:sz w:val="24"/>
                          <w:szCs w:val="24"/>
                          <w:lang w:val="en-US"/>
                        </w:rPr>
                      </w:pPr>
                      <w:r w:rsidRPr="005924B8">
                        <w:rPr>
                          <w:rFonts w:ascii="Book Antiqua" w:hAnsi="Book Antiqua" w:cstheme="majorBidi"/>
                          <w:color w:val="000000" w:themeColor="text1"/>
                          <w:sz w:val="24"/>
                          <w:szCs w:val="24"/>
                          <w:lang w:val="en-US"/>
                        </w:rPr>
                        <w:t xml:space="preserve">ISSN: </w:t>
                      </w:r>
                      <w:r w:rsidR="00C540F4" w:rsidRPr="00C540F4">
                        <w:rPr>
                          <w:rFonts w:ascii="Book Antiqua" w:hAnsi="Book Antiqua" w:cstheme="majorBidi"/>
                          <w:color w:val="000000" w:themeColor="text1"/>
                          <w:sz w:val="24"/>
                          <w:szCs w:val="24"/>
                          <w:lang w:val="en-US"/>
                        </w:rPr>
                        <w:t>2986-0016</w:t>
                      </w:r>
                    </w:p>
                  </w:txbxContent>
                </v:textbox>
              </v:rect>
            </w:pict>
          </mc:Fallback>
        </mc:AlternateContent>
      </w:r>
    </w:p>
    <w:p w14:paraId="7D6E66CF" w14:textId="121D9936" w:rsidR="006B4FA4" w:rsidRPr="005924B8" w:rsidRDefault="006B4FA4" w:rsidP="0016797F">
      <w:pPr>
        <w:jc w:val="center"/>
        <w:rPr>
          <w:rFonts w:ascii="Book Antiqua" w:hAnsi="Book Antiqua" w:cstheme="majorBidi"/>
          <w:b/>
          <w:bCs/>
          <w:sz w:val="28"/>
          <w:szCs w:val="28"/>
          <w:lang w:val="en-US"/>
        </w:rPr>
      </w:pPr>
    </w:p>
    <w:p w14:paraId="45037899" w14:textId="2C16C493" w:rsidR="001C406A" w:rsidRDefault="00564500" w:rsidP="00564500">
      <w:pPr>
        <w:pStyle w:val="Title"/>
        <w:rPr>
          <w:rFonts w:ascii="Book Antiqua" w:hAnsi="Book Antiqua"/>
        </w:rPr>
      </w:pPr>
      <w:r w:rsidRPr="00D333E9">
        <w:rPr>
          <w:rFonts w:ascii="Book Antiqua" w:hAnsi="Book Antiqua"/>
        </w:rPr>
        <w:t>Harta Bersama Sebagai Reformulasi Hukum Islam</w:t>
      </w:r>
      <w:r>
        <w:rPr>
          <w:rFonts w:ascii="Book Antiqua" w:hAnsi="Book Antiqua"/>
        </w:rPr>
        <w:t xml:space="preserve"> </w:t>
      </w:r>
      <w:r w:rsidRPr="00D333E9">
        <w:rPr>
          <w:rFonts w:ascii="Book Antiqua" w:hAnsi="Book Antiqua"/>
        </w:rPr>
        <w:t xml:space="preserve">Studi Perbandingan Fikih Klasik </w:t>
      </w:r>
      <w:r>
        <w:rPr>
          <w:rFonts w:ascii="Book Antiqua" w:hAnsi="Book Antiqua"/>
        </w:rPr>
        <w:t>d</w:t>
      </w:r>
      <w:r w:rsidRPr="00D333E9">
        <w:rPr>
          <w:rFonts w:ascii="Book Antiqua" w:hAnsi="Book Antiqua"/>
        </w:rPr>
        <w:t>an</w:t>
      </w:r>
      <w:r w:rsidR="00D333E9" w:rsidRPr="00D333E9">
        <w:rPr>
          <w:rFonts w:ascii="Book Antiqua" w:hAnsi="Book Antiqua"/>
        </w:rPr>
        <w:t xml:space="preserve"> KHI</w:t>
      </w:r>
    </w:p>
    <w:p w14:paraId="54C059A8" w14:textId="77777777" w:rsidR="00D333E9" w:rsidRPr="005924B8" w:rsidRDefault="00D333E9" w:rsidP="00D333E9">
      <w:pPr>
        <w:pStyle w:val="Title"/>
        <w:rPr>
          <w:rFonts w:ascii="Book Antiqua" w:hAnsi="Book Antiqua"/>
          <w:lang w:val="en-US"/>
        </w:rPr>
      </w:pPr>
    </w:p>
    <w:p w14:paraId="2AACE6DC" w14:textId="0CAB5710" w:rsidR="00BC3FC6" w:rsidRPr="005924B8" w:rsidRDefault="00BC3FC6" w:rsidP="00AF0FD3">
      <w:pPr>
        <w:pStyle w:val="Penulis"/>
        <w:rPr>
          <w:rFonts w:ascii="Book Antiqua" w:hAnsi="Book Antiqua"/>
        </w:rPr>
      </w:pPr>
      <w:r w:rsidRPr="005924B8">
        <w:rPr>
          <w:rFonts w:ascii="Book Antiqua" w:hAnsi="Book Antiqua"/>
        </w:rPr>
        <w:tab/>
      </w:r>
      <w:r w:rsidR="00D333E9" w:rsidRPr="00D333E9">
        <w:rPr>
          <w:rFonts w:ascii="Book Antiqua" w:hAnsi="Book Antiqua"/>
        </w:rPr>
        <w:t>Nasywa Nabilah Nugroho</w:t>
      </w:r>
      <w:r w:rsidRPr="005924B8">
        <w:rPr>
          <w:rFonts w:ascii="Book Antiqua" w:hAnsi="Book Antiqua"/>
          <w:vertAlign w:val="superscript"/>
        </w:rPr>
        <w:t>1</w:t>
      </w:r>
      <w:r w:rsidRPr="005924B8">
        <w:rPr>
          <w:rFonts w:ascii="Book Antiqua" w:hAnsi="Book Antiqua"/>
        </w:rPr>
        <w:t>*</w:t>
      </w:r>
      <w:r w:rsidR="00564500">
        <w:rPr>
          <w:rFonts w:ascii="Book Antiqua" w:hAnsi="Book Antiqua"/>
        </w:rPr>
        <w:t>,</w:t>
      </w:r>
      <w:r w:rsidRPr="005924B8">
        <w:rPr>
          <w:rFonts w:ascii="Book Antiqua" w:hAnsi="Book Antiqua"/>
        </w:rPr>
        <w:t xml:space="preserve"> </w:t>
      </w:r>
      <w:r w:rsidR="00D333E9" w:rsidRPr="00D333E9">
        <w:rPr>
          <w:rFonts w:ascii="Book Antiqua" w:hAnsi="Book Antiqua"/>
        </w:rPr>
        <w:t>Zulkarnain</w:t>
      </w:r>
      <w:r w:rsidRPr="005924B8">
        <w:rPr>
          <w:rFonts w:ascii="Book Antiqua" w:hAnsi="Book Antiqua"/>
          <w:vertAlign w:val="superscript"/>
        </w:rPr>
        <w:t>2</w:t>
      </w:r>
      <w:r w:rsidR="00802573" w:rsidRPr="005924B8">
        <w:rPr>
          <w:rFonts w:ascii="Book Antiqua" w:hAnsi="Book Antiqua"/>
        </w:rPr>
        <w:t xml:space="preserve">, </w:t>
      </w:r>
      <w:r w:rsidR="00D333E9" w:rsidRPr="00D333E9">
        <w:rPr>
          <w:rFonts w:ascii="Book Antiqua" w:hAnsi="Book Antiqua"/>
        </w:rPr>
        <w:t>Pagar</w:t>
      </w:r>
      <w:r w:rsidR="00D333E9">
        <w:rPr>
          <w:rFonts w:ascii="Book Antiqua" w:hAnsi="Book Antiqua"/>
          <w:vertAlign w:val="superscript"/>
        </w:rPr>
        <w:t>3</w:t>
      </w:r>
    </w:p>
    <w:p w14:paraId="08A5D60D" w14:textId="2D0C620B" w:rsidR="00CF5176" w:rsidRDefault="00CF5176" w:rsidP="00AF0FD3">
      <w:pPr>
        <w:pStyle w:val="AfiliasiPenulis1"/>
        <w:rPr>
          <w:rFonts w:ascii="Book Antiqua" w:hAnsi="Book Antiqua"/>
          <w:vertAlign w:val="baseline"/>
        </w:rPr>
      </w:pPr>
      <w:r w:rsidRPr="005924B8">
        <w:rPr>
          <w:rFonts w:ascii="Book Antiqua" w:hAnsi="Book Antiqua"/>
        </w:rPr>
        <w:t>1</w:t>
      </w:r>
      <w:r w:rsidR="00564500">
        <w:rPr>
          <w:rFonts w:ascii="Book Antiqua" w:hAnsi="Book Antiqua"/>
        </w:rPr>
        <w:t>-</w:t>
      </w:r>
      <w:r w:rsidR="00D333E9">
        <w:rPr>
          <w:rFonts w:ascii="Book Antiqua" w:hAnsi="Book Antiqua"/>
        </w:rPr>
        <w:t xml:space="preserve">3 </w:t>
      </w:r>
      <w:r w:rsidR="00D333E9">
        <w:rPr>
          <w:rFonts w:ascii="Book Antiqua" w:hAnsi="Book Antiqua"/>
          <w:vertAlign w:val="baseline"/>
        </w:rPr>
        <w:t>Universitas Islam Negeri Sumatera Utara</w:t>
      </w:r>
    </w:p>
    <w:p w14:paraId="2DDBD698" w14:textId="285043D9" w:rsidR="001C406A" w:rsidRPr="005924B8" w:rsidRDefault="001C406A" w:rsidP="00D333E9">
      <w:pPr>
        <w:pStyle w:val="AfiliasiPenulis1"/>
        <w:rPr>
          <w:rFonts w:ascii="Book Antiqua" w:hAnsi="Book Antiqua"/>
          <w:vertAlign w:val="baseline"/>
        </w:rPr>
      </w:pPr>
      <w:r>
        <w:rPr>
          <w:rFonts w:ascii="Book Antiqua" w:hAnsi="Book Antiqua"/>
          <w:vertAlign w:val="baseline"/>
        </w:rPr>
        <w:t xml:space="preserve">email: </w:t>
      </w:r>
      <w:hyperlink r:id="rId8" w:history="1">
        <w:r w:rsidR="00D333E9" w:rsidRPr="00340D88">
          <w:rPr>
            <w:rStyle w:val="Hyperlink"/>
            <w:rFonts w:ascii="Book Antiqua" w:hAnsi="Book Antiqua"/>
            <w:vertAlign w:val="baseline"/>
          </w:rPr>
          <w:t>nabilanasywa284@gmail.com</w:t>
        </w:r>
      </w:hyperlink>
      <w:r w:rsidR="00D333E9">
        <w:rPr>
          <w:rFonts w:ascii="Book Antiqua" w:hAnsi="Book Antiqua"/>
          <w:vertAlign w:val="baseline"/>
        </w:rPr>
        <w:t xml:space="preserve"> , </w:t>
      </w:r>
      <w:hyperlink r:id="rId9" w:history="1">
        <w:r w:rsidR="00D333E9" w:rsidRPr="00340D88">
          <w:rPr>
            <w:rStyle w:val="Hyperlink"/>
            <w:rFonts w:ascii="Book Antiqua" w:hAnsi="Book Antiqua"/>
            <w:vertAlign w:val="baseline"/>
          </w:rPr>
          <w:t>zulkarnain@uinsu.ac.id</w:t>
        </w:r>
      </w:hyperlink>
      <w:r w:rsidR="00D333E9">
        <w:rPr>
          <w:rFonts w:ascii="Book Antiqua" w:hAnsi="Book Antiqua"/>
          <w:vertAlign w:val="baseline"/>
        </w:rPr>
        <w:t xml:space="preserve"> , </w:t>
      </w:r>
      <w:hyperlink r:id="rId10" w:history="1">
        <w:r w:rsidR="00D333E9" w:rsidRPr="00340D88">
          <w:rPr>
            <w:rStyle w:val="Hyperlink"/>
            <w:rFonts w:ascii="Book Antiqua" w:hAnsi="Book Antiqua"/>
            <w:vertAlign w:val="baseline"/>
          </w:rPr>
          <w:t>pagar@uinsu.ac.id</w:t>
        </w:r>
      </w:hyperlink>
      <w:r w:rsidR="00D333E9">
        <w:rPr>
          <w:rFonts w:ascii="Book Antiqua" w:hAnsi="Book Antiqua"/>
          <w:vertAlign w:val="baseline"/>
        </w:rPr>
        <w:t xml:space="preserve"> </w:t>
      </w:r>
    </w:p>
    <w:p w14:paraId="3B836B8B" w14:textId="77777777" w:rsidR="00CF5176" w:rsidRPr="005924B8" w:rsidRDefault="00CF5176" w:rsidP="00CF5176">
      <w:pPr>
        <w:spacing w:after="0" w:line="240" w:lineRule="auto"/>
        <w:jc w:val="center"/>
        <w:rPr>
          <w:rFonts w:ascii="Book Antiqua" w:hAnsi="Book Antiqua" w:cstheme="majorBidi"/>
          <w:sz w:val="24"/>
          <w:szCs w:val="24"/>
          <w:lang w:val="en-US"/>
        </w:rPr>
      </w:pPr>
    </w:p>
    <w:p w14:paraId="3BC190C8" w14:textId="77777777" w:rsidR="00E83280" w:rsidRPr="00132124" w:rsidRDefault="00E83280" w:rsidP="00132124">
      <w:pPr>
        <w:pStyle w:val="AbstractBInggris"/>
        <w:spacing w:before="120" w:after="120"/>
      </w:pPr>
      <w:r w:rsidRPr="00132124">
        <w:t>ABSTRACT</w:t>
      </w:r>
    </w:p>
    <w:p w14:paraId="15950F04" w14:textId="3365CC62" w:rsidR="00D333E9" w:rsidRPr="00132124" w:rsidRDefault="00D333E9" w:rsidP="00132124">
      <w:pPr>
        <w:spacing w:before="120" w:after="120" w:line="240" w:lineRule="auto"/>
        <w:jc w:val="both"/>
        <w:rPr>
          <w:rFonts w:ascii="Book Antiqua" w:hAnsi="Book Antiqua" w:cstheme="majorBidi"/>
          <w:sz w:val="24"/>
          <w:szCs w:val="24"/>
        </w:rPr>
      </w:pPr>
      <w:r w:rsidRPr="00132124">
        <w:rPr>
          <w:rStyle w:val="ParagraphabstractChar"/>
        </w:rPr>
        <w:t>This study analyzes the concept of joint marital property (</w:t>
      </w:r>
      <w:r w:rsidRPr="00915D78">
        <w:rPr>
          <w:rStyle w:val="ParagraphabstractChar"/>
          <w:i/>
          <w:iCs/>
        </w:rPr>
        <w:t>harta bersama</w:t>
      </w:r>
      <w:r w:rsidRPr="00132124">
        <w:rPr>
          <w:rStyle w:val="ParagraphabstractChar"/>
        </w:rPr>
        <w:t xml:space="preserve">) in Islamic family law in Indonesia, comparing the classical fiqh perspective, which maintains separate ownership between spouses, with the contemporary ijtihad found in the Compilation of Islamic Law (KHI). KHI employs the concept of </w:t>
      </w:r>
      <w:r w:rsidR="00003B3A" w:rsidRPr="00132124">
        <w:rPr>
          <w:rStyle w:val="ParagraphabstractChar"/>
        </w:rPr>
        <w:t>syirkah</w:t>
      </w:r>
      <w:r w:rsidRPr="00132124">
        <w:rPr>
          <w:rStyle w:val="ParagraphabstractChar"/>
        </w:rPr>
        <w:t xml:space="preserve"> abdan as a foundation for unifying assets to ensure family welfare, although it frequently faces implementation gaps in practice. This normative legal research finds that the distribution of joint property after divorce should not necessarily be rigid or equal, but must consider the actual contributions of each party, including domestic roles that are often overlooked. This study proposes a reconstruction based on maqashid sharia and the concept of family ownership (</w:t>
      </w:r>
      <w:r w:rsidRPr="0088234D">
        <w:rPr>
          <w:rStyle w:val="ParagraphabstractChar"/>
          <w:i/>
          <w:iCs/>
        </w:rPr>
        <w:t>al-milkiyyah al-usariyyah</w:t>
      </w:r>
      <w:r w:rsidRPr="00132124">
        <w:rPr>
          <w:rStyle w:val="ParagraphabstractChar"/>
        </w:rPr>
        <w:t>) to achieve more gender-responsive justice. To bridge the gap formal justice, it is recommended to reformulate execution procedures through collaborative mediation models and the establishment of support service units involving interdisciplinary experts. This approach is expected to end rigid execution practices and protect the rights of vulnerable parties in family property disputes.</w:t>
      </w:r>
    </w:p>
    <w:p w14:paraId="54F8979B" w14:textId="5F41DC24" w:rsidR="00E83280" w:rsidRPr="00132124" w:rsidRDefault="00E83280" w:rsidP="00132124">
      <w:pPr>
        <w:pStyle w:val="KeywordAbstract"/>
        <w:spacing w:before="120" w:after="120"/>
      </w:pPr>
      <w:r w:rsidRPr="00132124">
        <w:t xml:space="preserve">Key </w:t>
      </w:r>
      <w:r w:rsidR="00443D7A" w:rsidRPr="00132124">
        <w:t xml:space="preserve">Words: </w:t>
      </w:r>
      <w:r w:rsidR="00D333E9" w:rsidRPr="00132124">
        <w:rPr>
          <w:b w:val="0"/>
          <w:bCs w:val="0"/>
        </w:rPr>
        <w:t>Joint Marital Property, Compilation of Islamic Law, Justice</w:t>
      </w:r>
      <w:r w:rsidR="00AD0CAE" w:rsidRPr="00132124">
        <w:rPr>
          <w:b w:val="0"/>
          <w:bCs w:val="0"/>
        </w:rPr>
        <w:t>.</w:t>
      </w:r>
    </w:p>
    <w:p w14:paraId="5FDCFEE2" w14:textId="77777777" w:rsidR="00443D7A" w:rsidRPr="00132124" w:rsidRDefault="00443D7A" w:rsidP="00132124">
      <w:pPr>
        <w:spacing w:before="120" w:after="120" w:line="240" w:lineRule="auto"/>
        <w:jc w:val="both"/>
        <w:rPr>
          <w:rFonts w:ascii="Book Antiqua" w:hAnsi="Book Antiqua" w:cstheme="majorBidi"/>
          <w:sz w:val="24"/>
          <w:szCs w:val="24"/>
        </w:rPr>
      </w:pPr>
    </w:p>
    <w:p w14:paraId="3C2AFB52" w14:textId="77777777" w:rsidR="00443D7A" w:rsidRPr="00132124" w:rsidRDefault="00443D7A" w:rsidP="00132124">
      <w:pPr>
        <w:pStyle w:val="AbstrakIndo"/>
        <w:spacing w:before="120" w:after="120"/>
      </w:pPr>
      <w:r w:rsidRPr="00132124">
        <w:t>ABSTRAK</w:t>
      </w:r>
    </w:p>
    <w:p w14:paraId="693F61EC" w14:textId="635E96AE" w:rsidR="00443D7A" w:rsidRPr="00132124" w:rsidRDefault="00D333E9" w:rsidP="00132124">
      <w:pPr>
        <w:spacing w:before="120" w:after="120" w:line="240" w:lineRule="auto"/>
        <w:jc w:val="both"/>
        <w:rPr>
          <w:rFonts w:ascii="Book Antiqua" w:hAnsi="Book Antiqua" w:cs="Times New Roman"/>
          <w:sz w:val="24"/>
          <w:szCs w:val="24"/>
        </w:rPr>
      </w:pPr>
      <w:r w:rsidRPr="00132124">
        <w:rPr>
          <w:rFonts w:ascii="Book Antiqua" w:hAnsi="Book Antiqua" w:cs="Times New Roman"/>
          <w:sz w:val="24"/>
          <w:szCs w:val="24"/>
        </w:rPr>
        <w:t xml:space="preserve">Penelitian ini menganalisis konsep harta bersama dalam hukum keluarga Islam di Indonesia, dengan membandingkan perspektif fikih klasik yang memisahkan harta suami-istri dan ijtihad kontemporer dalam Kompilasi Hukum Islam (KHI). KHI menerapkan konsep </w:t>
      </w:r>
      <w:r w:rsidR="00003B3A" w:rsidRPr="00132124">
        <w:rPr>
          <w:rFonts w:ascii="Book Antiqua" w:hAnsi="Book Antiqua" w:cs="Times New Roman"/>
          <w:i/>
          <w:iCs/>
          <w:sz w:val="24"/>
          <w:szCs w:val="24"/>
        </w:rPr>
        <w:t>syirkah</w:t>
      </w:r>
      <w:r w:rsidRPr="00132124">
        <w:rPr>
          <w:rFonts w:ascii="Book Antiqua" w:hAnsi="Book Antiqua" w:cs="Times New Roman"/>
          <w:i/>
          <w:iCs/>
          <w:sz w:val="24"/>
          <w:szCs w:val="24"/>
        </w:rPr>
        <w:t xml:space="preserve"> abdan</w:t>
      </w:r>
      <w:r w:rsidRPr="00132124">
        <w:rPr>
          <w:rFonts w:ascii="Book Antiqua" w:hAnsi="Book Antiqua" w:cs="Times New Roman"/>
          <w:sz w:val="24"/>
          <w:szCs w:val="24"/>
        </w:rPr>
        <w:t xml:space="preserve"> sebagai landasan penyatuan harta untuk menjamin kemaslahatan keluarga, meskipun dalam praktiknya sering menghadapi kesenjangan implementasi. Penelitian hukum normatif ini menemukan bahwa pembagian harta bersama pasca-perceraian tidak selamanya harus bersifat kaku atau sama rata, melainkan perlu mempertimbangkan kontribusi nyata masing-masing pihak, termasuk peran domestik yang sering terabaikan. Kajian ini menawarkan rekonstruksi berbasis</w:t>
      </w:r>
      <w:r w:rsidRPr="00132124">
        <w:rPr>
          <w:rFonts w:ascii="Book Antiqua" w:hAnsi="Book Antiqua" w:cs="Times New Roman"/>
          <w:i/>
          <w:iCs/>
          <w:sz w:val="24"/>
          <w:szCs w:val="24"/>
        </w:rPr>
        <w:t xml:space="preserve"> maqashid syariah</w:t>
      </w:r>
      <w:r w:rsidRPr="00132124">
        <w:rPr>
          <w:rFonts w:ascii="Book Antiqua" w:hAnsi="Book Antiqua" w:cs="Times New Roman"/>
          <w:sz w:val="24"/>
          <w:szCs w:val="24"/>
        </w:rPr>
        <w:t xml:space="preserve"> dan konsep kepemilikan keluarga (</w:t>
      </w:r>
      <w:r w:rsidRPr="00132124">
        <w:rPr>
          <w:rFonts w:ascii="Book Antiqua" w:hAnsi="Book Antiqua" w:cs="Times New Roman"/>
          <w:i/>
          <w:iCs/>
          <w:sz w:val="24"/>
          <w:szCs w:val="24"/>
        </w:rPr>
        <w:t>al-milkiyyah al-usariyyah</w:t>
      </w:r>
      <w:r w:rsidRPr="00132124">
        <w:rPr>
          <w:rFonts w:ascii="Book Antiqua" w:hAnsi="Book Antiqua" w:cs="Times New Roman"/>
          <w:sz w:val="24"/>
          <w:szCs w:val="24"/>
        </w:rPr>
        <w:t xml:space="preserve">) guna mencapai keadilan merata yang lebih responsif gender. Untuk menjembatani kesenjangan keadilan formal, direkomendasikan reformulasi prosedur pelaksanaan melalui model mediasi kolaboratif serta pembentukan unit layanan pendampingan yang melibatkan ahli </w:t>
      </w:r>
      <w:r w:rsidRPr="00132124">
        <w:rPr>
          <w:rFonts w:ascii="Book Antiqua" w:hAnsi="Book Antiqua" w:cs="Times New Roman"/>
          <w:sz w:val="24"/>
          <w:szCs w:val="24"/>
        </w:rPr>
        <w:lastRenderedPageBreak/>
        <w:t>lintas lembaga. Pendekatan ini diharapkan mampu mengakhiri praktik eksekusi yang kaku serta melindungi hak-hak pihak rentan dalam sengketa harta keluarga.</w:t>
      </w:r>
    </w:p>
    <w:p w14:paraId="3F9C8236" w14:textId="2CED1651" w:rsidR="00443D7A" w:rsidRPr="00132124" w:rsidRDefault="00443D7A" w:rsidP="00132124">
      <w:pPr>
        <w:spacing w:before="120" w:after="120" w:line="240" w:lineRule="auto"/>
        <w:rPr>
          <w:rFonts w:ascii="Book Antiqua" w:hAnsi="Book Antiqua" w:cstheme="majorBidi"/>
          <w:sz w:val="24"/>
          <w:szCs w:val="24"/>
        </w:rPr>
      </w:pPr>
      <w:r w:rsidRPr="00132124">
        <w:rPr>
          <w:rFonts w:ascii="Book Antiqua" w:hAnsi="Book Antiqua" w:cstheme="majorBidi"/>
          <w:b/>
          <w:bCs/>
          <w:sz w:val="24"/>
          <w:szCs w:val="24"/>
        </w:rPr>
        <w:t>Kata Kunci</w:t>
      </w:r>
      <w:r w:rsidRPr="00132124">
        <w:rPr>
          <w:rFonts w:ascii="Book Antiqua" w:hAnsi="Book Antiqua" w:cstheme="majorBidi"/>
          <w:sz w:val="24"/>
          <w:szCs w:val="24"/>
        </w:rPr>
        <w:t xml:space="preserve">: </w:t>
      </w:r>
      <w:r w:rsidR="00D333E9" w:rsidRPr="00132124">
        <w:rPr>
          <w:rFonts w:ascii="Book Antiqua" w:hAnsi="Book Antiqua" w:cs="Times New Roman"/>
          <w:sz w:val="24"/>
          <w:szCs w:val="24"/>
        </w:rPr>
        <w:t>Harta Bersama, Kompilasi Hukum Islam, Keadilan.</w:t>
      </w:r>
    </w:p>
    <w:p w14:paraId="393DC6EA" w14:textId="77777777" w:rsidR="00D13E8A" w:rsidRPr="00832B48" w:rsidRDefault="00D13E8A" w:rsidP="00443D7A">
      <w:pPr>
        <w:spacing w:after="0" w:line="240" w:lineRule="auto"/>
        <w:rPr>
          <w:rFonts w:ascii="Book Antiqua" w:hAnsi="Book Antiqua" w:cstheme="majorBidi"/>
          <w:sz w:val="20"/>
          <w:szCs w:val="20"/>
        </w:rPr>
      </w:pPr>
    </w:p>
    <w:p w14:paraId="1204E1D7" w14:textId="77777777" w:rsidR="00443D7A" w:rsidRPr="005924B8" w:rsidRDefault="00443D7A" w:rsidP="00443D7A">
      <w:pPr>
        <w:spacing w:after="0" w:line="240" w:lineRule="auto"/>
        <w:rPr>
          <w:rFonts w:ascii="Book Antiqua" w:hAnsi="Book Antiqua" w:cstheme="majorBidi"/>
          <w:sz w:val="20"/>
          <w:szCs w:val="20"/>
        </w:rPr>
      </w:pPr>
    </w:p>
    <w:p w14:paraId="688E73E2" w14:textId="77777777" w:rsidR="00443D7A" w:rsidRPr="00BE0B6C" w:rsidRDefault="003D5616" w:rsidP="00132124">
      <w:pPr>
        <w:pStyle w:val="PENDAHULUAN"/>
      </w:pPr>
      <w:r w:rsidRPr="00BE0B6C">
        <w:t>PENDAHULUAN</w:t>
      </w:r>
    </w:p>
    <w:p w14:paraId="751EE025" w14:textId="29A99DF0"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Harta bersama adalah harta yang diperoleh selama berlangsungnya perkawinan dan digunakan untuk kepentingan keluarga. Dalam hukum positif Indonesia, harta yang diperoleh sejak terjadinya perkawinan pada prinsipnya dianggap sebagai harta bersama tanpa membedakan siapa yang memperoleh atau menghasilkan harta tersebut. Sementara itu, dalam perspektif hukum keluarga Islam, konsep harta bersama dipahami sebagai hasil usaha suami dan istri selama masa perkawinan, baik diperoleh secara bersama-sama maupun melalui pekerjaan masing-masing. Keberadaan harta bersama bertujuan untuk mendukung kesejahteraan keluarga dan menjadi salah satu aspek penting yang diatur dalam penyelesaian sengketa keluarga, khususnya ketika terjadi perceraian</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{"citationID":"IuGatsU5","properties":{"formattedCitation":"(Rahmadany, 2023)","plainCitation":"(Rahmadany, 2023)","noteIndex":0},"citationItems":[{"id":3256,"uris":["http://zotero.org/users/14569500/items/CAMEC3S7"],"itemData":{"id":3256,"type":"article-journal","container-title":"Indonesia of Journal Business Law","DOI":"10.47709/ijbl.v2i2.2561","issue":"2","journalAbbreviation":"Indonesia of Journal Business Law","page":"76-79","title":"Pengaturan Hukum Dalam Pembagian Harta Bersama Perkawinan","volume":"2","author":[{"literal":"Rahmadany"}],"issued":{"date-parts":[["2023"]]}}}],"schema":"https://github.com/citation-style-language/schema/raw/master/csl-citation.json"}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(Rahmadany, 2023)</w:t>
      </w:r>
      <w:r w:rsidR="00C618AA">
        <w:rPr>
          <w:rFonts w:ascii="Book Antiqua" w:hAnsi="Book Antiqua" w:cs="Times New Roman"/>
          <w:sz w:val="24"/>
          <w:szCs w:val="24"/>
        </w:rPr>
        <w:fldChar w:fldCharType="end"/>
      </w:r>
      <w:r w:rsidRPr="00F34E5C">
        <w:rPr>
          <w:rFonts w:ascii="Book Antiqua" w:hAnsi="Book Antiqua" w:cs="Times New Roman"/>
          <w:sz w:val="24"/>
          <w:szCs w:val="24"/>
        </w:rPr>
        <w:t xml:space="preserve">. </w:t>
      </w:r>
    </w:p>
    <w:p w14:paraId="3C89E679" w14:textId="4F50BED3"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Dalam hukum keluarga Islam di Indonesia, harta bersama mencakup seluruh harta yang diperoleh selama masa perkawinan, kecuali harta yang berasal dari hibah, hadiah, atau warisan yang menjadi hak pribadi masing-masing pihak. Berdasarkan Kompilasi Hukum Islam, harta bersama dapat dibedakan menjadi harta berwujud dan harta tidak berwujud. Harta berwujud meliputi benda tidak bergerak seperti tanah, rumah, dan bangunan, serta benda bergerak seperti kendaraan, perhiasan, tabungan, dan barang berharga lainnya. Sementara itu, harta tidak berwujud mencakup berbagai hak yang memiliki nilai ekonomi, seperti hak cipta, merek, paten, royalti, serta hak dan kewajiban lain yang timbul selama perkawinan. Perkembangan hukum modern juga mengakui kekayaan intelektual dan royalti sebagai bagian dari harta bersama apabila diperoleh selama ikatan perkawinan dan tidak terdapat perjanjian pemisahan harta antara suami dan istri</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{"citationID":"tGY22Eqa","properties":{"formattedCitation":"(Wardoyo dkk., 2025)","plainCitation":"(Wardoyo dkk., 2025)","noteIndex":0},"citationItems":[{"id":3257,"uris":["http://zotero.org/users/14569500/items/ZUSCUIER"],"itemData":{"id":3257,"type":"article-journal","container-title":"JPNM Jurnal Pustaka Nusantara Multidisiplin","DOI":"10.59945/jpnm.v3i1.374","issue":"1","journalAbbreviation":"JPNM Jurnal Pustaka Nusantara Multidisiplin","title":"Tinjauan Hukum Keluarga Islam Terhadap Royalti Hak Atas Kekayaan Intelektual Sebagai Harta Bersama Dalam Putusan Nomor: 1622 Pdt.G 2023 PA.JB","volume":"3","author":[{"family":"Wardoyo","given":"Eko Tri"},{"family":"Hidayat","given":"Eko"},{"family":"Mu'in","given":"Fathul"}],"issued":{"date-parts":[["2025"]]}}}],"schema":"https://github.com/citation-style-language/schema/raw/master/csl-citation.json"}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(Wardoyo dkk., 2025)</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115B93B1" w14:textId="3356EC78"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Prinsip kepemilikan harta bersama dalam hukum keluarga Islam didasarkan pada konsep kerja sama dan keadilan antara suami dan istri selama berlangsungnya perkawinan. perkembangan hukum Islam di Indonesia mengakui bahwa harta yang diperoleh selama perkawinan dapat dipandang sebagai hasil kemitraan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dalam membangun rumah tangga. Kontribusi tersebut tidak hanya berupa pencarian nafkah, tetapi juga mencakup peran domestik seperti mengurus rumah tangga dan mengasuh anak</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{"citationID":"C9vEJNnJ","properties":{"formattedCitation":"(Aibak &amp; Anusantari, 2022)","plainCitation":"(Aibak &amp; Anusantari, 2022)","noteIndex":0},"citationItems":[{"id":3248,"uris":["http://zotero.org/users/14569500/items/QNENXG56"],"itemData":{"id":3248,"type":"article-journal","container-title":"Hukum Islam","DOI":"10.24014/jhi.v22i2.17169","issue":"2","journalAbbreviation":"Hukum Islam","page":"73-96","title":"Pengaturan Harta Bersama Pasca Perceraian: Studi Komparatif Hukum Keluarga Islam Indonesia dan Malaysia","volume":"22","author":[{"family":"Aibak","given":"Kutbuddin"},{"family":"Anusantari","given":"Inama"}],"issued":{"date-parts":[["2022"]]}}}],"schema":"https://github.com/citation-style-language/schema/raw/master/csl-citation.json"}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(Aibak &amp; Anusantari, 2022)</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013D97B7" w14:textId="28D4FA2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Setiap kontribusi yang diberikan, baik dalam bentuk pencarian nafkah maupun pengelolaan urusan domestik, memiliki nilai yang sama dalam pembentukan kekayaan keluarga. Oleh karena itu, pembagian harta bersama tidak semata-mata didasarkan pada besarnya pendapatan yang dihasilkan, tetapi juga </w:t>
      </w:r>
      <w:r w:rsidRPr="00F34E5C">
        <w:rPr>
          <w:rFonts w:ascii="Book Antiqua" w:hAnsi="Book Antiqua" w:cs="Times New Roman"/>
          <w:sz w:val="24"/>
          <w:szCs w:val="24"/>
        </w:rPr>
        <w:lastRenderedPageBreak/>
        <w:t>mempertimbangkan kontribusi masing-masing pihak dalam mewujudkan kesejahteraan rumah tangga. Prinsip ini mencerminkan nilai keadilan, kemaslahatan, dan perlindungan hak-hak suami maupun istri dalam hukum keluarga Islam</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{"citationID":"uHpwb7Dy","properties":{"formattedCitation":"(Tan dkk., 2025)","plainCitation":"(Tan dkk., 2025)","noteIndex":0},"citationItems":[{"id":3259,"uris":["http://zotero.org/users/14569500/items/3KVYZFV6"],"itemData":{"id":3259,"type":"article-journal","container-title":"Jurnal Fundamental Justice","DOI":"10.30812/fundamental.v6i2.5665","issue":"2","journalAbbreviation":"Jurnal Fundamental Justice","page":"283-302","title":"Pembagian Harta Bersama Atas Perkawinan Siri Perspektif Hukum Islam Dan Hukum Perdata","volume":"6","author":[{"family":"Tan","given":"Rosita"},{"family":"Afdal","given":"Windi"},{"family":"Fitri","given":"Windi"}],"issued":{"date-parts":[["2025"]]}}}],"schema":"https://github.com/citation-style-language/schema/raw/master/csl-citation.json"}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(Tan dkk., 2025)</w:t>
      </w:r>
      <w:r w:rsidR="00C618AA">
        <w:rPr>
          <w:rFonts w:ascii="Book Antiqua" w:hAnsi="Book Antiqua" w:cs="Times New Roman"/>
          <w:sz w:val="24"/>
          <w:szCs w:val="24"/>
        </w:rPr>
        <w:fldChar w:fldCharType="end"/>
      </w:r>
      <w:r w:rsidRPr="00F34E5C">
        <w:rPr>
          <w:rFonts w:ascii="Book Antiqua" w:hAnsi="Book Antiqua" w:cs="Times New Roman"/>
          <w:sz w:val="24"/>
          <w:szCs w:val="24"/>
        </w:rPr>
        <w:t xml:space="preserve">. </w:t>
      </w:r>
    </w:p>
    <w:p w14:paraId="32F1F39D" w14:textId="7FBF39F2"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Mazhab Syafi'i pada dasarnya tidak mengenal konsep harta bersama (gono-gini) sebagaimana yang berkembang dalam hukum keluarga di Indonesia. Menurut pandangan mazhab ini, suami dan istri tetap memiliki hak kepemilikan yang terpisah meskipun telah terikat dalam perkawinan. Harta yang diperoleh oleh suami menjadi milik suami, sedangkan harta yang diperoleh oleh istri tetap menjadi milik istri. Prinsip ini didasarkan pada ketentuan bahwa setiap individu berhak atas hasil usahanya masing-masing sebagaimana dijelaskan dalam Q.S. An-Nisa ayat 32. Meskipun demikian, para ulama kontemporer yang berlandaskan mazhab Syafi'i mengembangkan konsep harta bersama melalui pendekatan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w:t>
      </w:r>
      <w:r w:rsidRPr="00F34E5C">
        <w:rPr>
          <w:rFonts w:ascii="Book Antiqua" w:hAnsi="Book Antiqua" w:cs="Times New Roman"/>
          <w:sz w:val="24"/>
          <w:szCs w:val="24"/>
        </w:rPr>
        <w:t xml:space="preserve">(kemitraan). Harta yang diperoleh melalui kerja sama suami dan istri selama perkawinan dapat dipandang sebagai harta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karena adanya kontribusi kedua belah pihak dalam membangun dan mengembangkan ekonomi keluarga</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{"citationID":"eSj1iuEz","properties":{"formattedCitation":"(Widiyastuti dkk., 2025)","plainCitation":"(Widiyastuti dkk., 2025)","noteIndex":0},"citationItems":[{"id":3260,"uris":["http://zotero.org/users/14569500/items/P6J4ALXB"],"itemData":{"id":3260,"type":"article-journal","container-title":"USRATUNA: Jurnal Hukum Keluarga Islam","DOI":"10.65356/usratuna.v8i2.775","issue":"2","journalAbbreviation":"USRATUNA: Jurnal Hukum Keluarga Islam","page":"51-73","title":"Pembagian Harta Gono Gini Akibat Perceraian Perspektif Hukum Islam","volume":"8","author":[{"family":"Widiyastuti","given":"Anggi"},{"family":"Fatimah","given":"Siti"},{"family":"Fitri","given":"Abd. Basit Misbachul"},{"family":"Yulianto","given":"Sandi Ferdy"}],"issued":{"date-parts":[["2025"]]}}}],"schema":"https://github.com/citation-style-language/schema/raw/master/csl-citation.json"}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(Widiyastuti dkk., 2025)</w:t>
      </w:r>
      <w:r w:rsidR="00C618AA">
        <w:rPr>
          <w:rFonts w:ascii="Book Antiqua" w:hAnsi="Book Antiqua" w:cs="Times New Roman"/>
          <w:sz w:val="24"/>
          <w:szCs w:val="24"/>
        </w:rPr>
        <w:fldChar w:fldCharType="end"/>
      </w:r>
      <w:r w:rsidRPr="00F34E5C">
        <w:rPr>
          <w:rFonts w:ascii="Book Antiqua" w:hAnsi="Book Antiqua" w:cs="Times New Roman"/>
          <w:sz w:val="24"/>
          <w:szCs w:val="24"/>
        </w:rPr>
        <w:t>.</w:t>
      </w:r>
      <w:r w:rsidR="00C618AA">
        <w:rPr>
          <w:rFonts w:ascii="Book Antiqua" w:hAnsi="Book Antiqua" w:cs="Times New Roman"/>
          <w:sz w:val="24"/>
          <w:szCs w:val="24"/>
        </w:rPr>
        <w:t xml:space="preserve"> </w:t>
      </w:r>
      <w:r w:rsidRPr="00F34E5C">
        <w:rPr>
          <w:rFonts w:ascii="Book Antiqua" w:hAnsi="Book Antiqua" w:cs="Times New Roman"/>
          <w:sz w:val="24"/>
          <w:szCs w:val="24"/>
        </w:rPr>
        <w:t xml:space="preserve">Mazhab Hanafi tidak mengenal harta bersama sebagai akibat langsung dari perkawinan. Harta yang diperoleh suami tetap menjadi milik suami, sedangkan harta yang diperoleh istri tetap menjadi milik istri. Namun, apabila suami dan istri bekerja sama dalam memperoleh harta, maka harta tersebut dapat dipandang sebagai harta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(persekutuan) yang pembagiannya disesuaikan dengan kontribusi masing-masing pihak</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{"citationID":"qN4ZGpUT","properties":{"formattedCitation":"(Alfarisi dkk., 2023)","plainCitation":"(Alfarisi dkk., 2023)","noteIndex":0},"citationItems":[{"id":3261,"uris":["http://zotero.org/users/14569500/items/29LKG8PJ"],"itemData":{"id":3261,"type":"article-journal","container-title":"Sahaja: Journal Sharia and Humanities","DOI":"10.61159/sahaja.v2i2.126","issue":"2","journalAbbreviation":"Sahaja: Journal Sharia and Humanities","page":"177-187","title":"Pandangan Hukum Positif Dan Hukum Islam Terhadap Pembagian Harta Gono-Gini","volume":"2","author":[{"family":"Alfarisi","given":"Usman"},{"family":"Fikri","given":"Zainul"},{"literal":"Risidianto"}],"issued":{"date-parts":[["2023"]]}}}],"schema":"https://github.com/citation-style-language/schema/raw/master/csl-citation.json"}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(Alfarisi dkk., 2023)</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071BA75B" w14:textId="167ECDC9"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Mazhab Maliki memiliki pandangan yang lebih fleksibel mengenai kepemilikan harta dalam perkawinan. Pada dasarnya, suami dan istri tetap memiliki hak atas harta masing-masing. Namun, apabila terdapat kerja sama dalam memperoleh atau mengembangkan harta selama perkawinan, maka harta tersebut dapat dipandang sebagai bentuk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yang menimbulkan hak bersama. Mazhab ini juga mempertimbangkan kebiasaan masyarakat </w:t>
      </w:r>
      <w:r w:rsidRPr="00003B3A">
        <w:rPr>
          <w:rFonts w:ascii="Book Antiqua" w:hAnsi="Book Antiqua" w:cs="Times New Roman"/>
          <w:i/>
          <w:iCs/>
          <w:sz w:val="24"/>
          <w:szCs w:val="24"/>
        </w:rPr>
        <w:t>('urf)</w:t>
      </w:r>
      <w:r w:rsidRPr="00F34E5C">
        <w:rPr>
          <w:rFonts w:ascii="Book Antiqua" w:hAnsi="Book Antiqua" w:cs="Times New Roman"/>
          <w:sz w:val="24"/>
          <w:szCs w:val="24"/>
        </w:rPr>
        <w:t xml:space="preserve"> sebagai dasar penetapan hukum selama tidak bertentangan dengan syariat. Milkiyyah </w:t>
      </w:r>
      <w:r w:rsidR="00003B3A" w:rsidRPr="00003B3A">
        <w:rPr>
          <w:rFonts w:ascii="Book Antiqua" w:hAnsi="Book Antiqua" w:cs="Times New Roman"/>
          <w:i/>
          <w:iCs/>
          <w:sz w:val="24"/>
          <w:szCs w:val="24"/>
        </w:rPr>
        <w:t>Musytarakah</w:t>
      </w:r>
      <w:r w:rsidRPr="00F34E5C">
        <w:rPr>
          <w:rFonts w:ascii="Book Antiqua" w:hAnsi="Book Antiqua" w:cs="Times New Roman"/>
          <w:sz w:val="24"/>
          <w:szCs w:val="24"/>
        </w:rPr>
        <w:t xml:space="preserve"> merupakan konsep kepemilikan bersama yang memberikan hak kepada dua pihak atau lebih atas suatu harta. Prinsip ini digunakan untuk menjelaskan kepemilikan harta yang diperoleh melalui kontribusi bersama selama perkawinan. </w:t>
      </w:r>
    </w:p>
    <w:p w14:paraId="4AEFFA74" w14:textId="33087758"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Fikih klasik pada umumnya tidak mengenal pembagian harta bersama secara otomatis setelah perceraian karena harta suami dan istri dipandang terpisah. Namun, apabila terdapat unsur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atau kerja sama dalam memperoleh harta selama perkawinan, maka pembagian dilakukan berdasarkan besarnya kontribusi masing-masing pihak. Dalam perkembangannya, para ulama kontemporer juga mempertimbangkan aspek keadilan dan kemaslahatan, sehingga pembagian harta tidak selalu harus sama rata, tetapi dapat disesuaikan dengan peran, kontribusi, serta kondisi yang melatarbelakangi perceraian</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{"citationID":"6mFHGj0K","properties":{"formattedCitation":"(Afrizal &amp; Kodri, 2023)","plainCitation":"(Afrizal &amp; Kodri, 2023)","noteIndex":0},"citationItems":[{"id":3249,"uris":["http://zotero.org/users/14569500/items/KKWUQJGT"],"itemData":{"id":3249,"type":"article-journal","container-title":"Islamic Law Journal","issue":"1","journalAbbreviation":"Islamic Law Journal","page":"47-61","title":"Pembagian Harta Bersama (Studi Analisis Pasal 97 Kompilasi Hukum Islam dalam Perspektif Maqashid Syariah)","volume":"1","author":[{"literal":"Afrizal"},{"family":"Kodri","given":"Al"}],"issued":{"date-parts":[["2023"]]}}}],"schema":"https://github.com/citation-style-language/schema/raw/master/csl-citation.json"}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(Afrizal &amp; Kodri, 2023)</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736812A9" w14:textId="7043F14F"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lastRenderedPageBreak/>
        <w:t>Menurut Kompilasi Hukum Islam (KHI), harta bersama adalah kekayaan yang diperoleh selama masa perkawinan dari hasil usaha suami istri. Harta ini secara otomatis terpisah dari harta pribadi (seperti warisan, hibah, atau hadiah) tanpa perlu adanya perjanjian pemisahan harta. Penggunaan, penjualan, atau pemindah</w:t>
      </w:r>
      <w:r w:rsidR="00003B3A">
        <w:rPr>
          <w:rFonts w:ascii="Book Antiqua" w:hAnsi="Book Antiqua" w:cs="Times New Roman"/>
          <w:sz w:val="24"/>
          <w:szCs w:val="24"/>
        </w:rPr>
        <w:t xml:space="preserve"> </w:t>
      </w:r>
      <w:r w:rsidRPr="00F34E5C">
        <w:rPr>
          <w:rFonts w:ascii="Book Antiqua" w:hAnsi="Book Antiqua" w:cs="Times New Roman"/>
          <w:sz w:val="24"/>
          <w:szCs w:val="24"/>
        </w:rPr>
        <w:t>tanganan harta bersama wajib mendapat persetujuan dari kedua belah pihak. Utang untuk kepentingan keluarga dibebankan pada harta bersama, dan jika salah satu pihak melakukan tindakan yang mengancam harta (seperti berjudi atau boros), pihak lain berhak meminta sita jaminan ke pengadilan. Jika perkawinan berakhir karena perceraian, baik cerai hidup maupun cerai mati, masing-masing pihak berhak mendapatkan separuh (seperdua) dari harta bersama tersebut. Khusus untuk kasus poligami, harta bersama masing-masing istri dipisahkan secara tegas dan dihitung mulai dari saat berlangsungnya akad nikah untuk istri kedua, ketiga, dan seterusnya</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{"citationID":"KgJogF6H","properties":{"formattedCitation":"(Nurdin dkk., 2024)","plainCitation":"(Nurdin dkk., 2024)","noteIndex":0},"citationItems":[{"id":3250,"uris":["http://zotero.org/users/14569500/items/RBUYU3LA"],"itemData":{"id":3250,"type":"article-journal","container-title":"Al-Muqaranah","DOI":"10.33477/am.v2i2.7894","issue":"2","journalAbbreviation":"Al-Muqaranah","page":"57-80","title":"Harta Bersama Serta Kedudukannya Menurut Kompilasi Hukum Islam (KHI) dan Kitab Undang-Undang Hukum Perdata (KUHPerdata)","volume":"2","author":[{"family":"Nurdin","given":"Roswati"},{"family":"Abdullah","given":"Nurbaya"},{"family":"Pikahulan","given":"Rustam Magum"}],"issued":{"date-parts":[["2024"]]}}}],"schema":"https://github.com/citation-style-language/schema/raw/master/csl-citation.json"}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(Nurdin dkk., 2024)</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7AA0CFBB"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Dalam fikih klasik, konsep harta bersama antara suami dan istri sama sekali tidak dikenal. Pandangan hukum Islam tradisional menetapkan bahwa ikatan perkawinan tidak bisa dijadikan sebab terjadinya peralihan kepemilikan harta secara otomatis. Kekayaan yang diperoleh suami maupun istri dikuasai oleh masing-masing pihak secara terpisah, mengingat dalam syariah pemindahan hak milik hanya diakui melalui empat cara, waris, wasiat, hibah, dan jual beli. Ketiadaan aturan mengenai harta bersama ini sangat dipengaruhi oleh kultur Timur Tengah pada masa tersebut, di mana suami berperan sebagai pencari nafkah tunggal, sehingga istri tidak memiliki hak kepemilikan mutlak atas harta yang murni dihasilkan oleh suaminya. </w:t>
      </w:r>
    </w:p>
    <w:p w14:paraId="064E4055" w14:textId="69C5E5F9"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Sebaliknya, Kompilasi Hukum Islam (KHI) di Indonesia justru menetapkan adanya penyatuan harta bersama secara otomatis untuk setiap kekayaan yang diperoleh selama ikatan perkawinan berlangsung. Ketentuan ini merupakan bentuk ijtihad ulama kontemporer yang dirumuskan untuk mengisi kekosongan hukum positif dengan berlandaskan pada asas kemaslahatan dan hukum kebiasaan (</w:t>
      </w:r>
      <w:r w:rsidRPr="00F34E5C">
        <w:rPr>
          <w:rFonts w:ascii="Book Antiqua" w:hAnsi="Book Antiqua" w:cs="Times New Roman"/>
          <w:i/>
          <w:iCs/>
          <w:sz w:val="24"/>
          <w:szCs w:val="24"/>
        </w:rPr>
        <w:t>'urf</w:t>
      </w:r>
      <w:r w:rsidRPr="00F34E5C">
        <w:rPr>
          <w:rFonts w:ascii="Book Antiqua" w:hAnsi="Book Antiqua" w:cs="Times New Roman"/>
          <w:sz w:val="24"/>
          <w:szCs w:val="24"/>
        </w:rPr>
        <w:t xml:space="preserve">) masyarakat Indonesia. KHI mengqiyaskan peyatuan harta ini ke dalam konsep kerja sama atau akad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(seperti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'inan</w:t>
      </w:r>
      <w:r w:rsidRPr="00F34E5C">
        <w:rPr>
          <w:rFonts w:ascii="Book Antiqua" w:hAnsi="Book Antiqua" w:cs="Times New Roman"/>
          <w:sz w:val="24"/>
          <w:szCs w:val="24"/>
        </w:rPr>
        <w:t xml:space="preserve"> atau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w:t>
      </w:r>
      <w:r w:rsidRPr="00F34E5C">
        <w:rPr>
          <w:rFonts w:ascii="Book Antiqua" w:hAnsi="Book Antiqua" w:cs="Times New Roman"/>
          <w:sz w:val="24"/>
          <w:szCs w:val="24"/>
        </w:rPr>
        <w:t xml:space="preserve">) karena pengorbanan istri dalam mengurus rumah tangga dinilai memberikan andil yang sangat signifikan bagi kesuksesan suami dalam mencari nafkah. </w:t>
      </w:r>
    </w:p>
    <w:p w14:paraId="0306B90D" w14:textId="50A191E6"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Dengan mengintegrasikan gagasan fikih modern (kontemporer) yang berlandaskan pada </w:t>
      </w:r>
      <w:r w:rsidRPr="00F34E5C">
        <w:rPr>
          <w:rFonts w:ascii="Book Antiqua" w:hAnsi="Book Antiqua" w:cs="Times New Roman"/>
          <w:i/>
          <w:iCs/>
          <w:sz w:val="24"/>
          <w:szCs w:val="24"/>
        </w:rPr>
        <w:t>maqashid al-syari'ah</w:t>
      </w:r>
      <w:r w:rsidRPr="00F34E5C">
        <w:rPr>
          <w:rFonts w:ascii="Book Antiqua" w:hAnsi="Book Antiqua" w:cs="Times New Roman"/>
          <w:sz w:val="24"/>
          <w:szCs w:val="24"/>
        </w:rPr>
        <w:t>, khususnya dalam memelihara harta (</w:t>
      </w:r>
      <w:r w:rsidRPr="00F34E5C">
        <w:rPr>
          <w:rFonts w:ascii="Book Antiqua" w:hAnsi="Book Antiqua" w:cs="Times New Roman"/>
          <w:i/>
          <w:iCs/>
          <w:sz w:val="24"/>
          <w:szCs w:val="24"/>
        </w:rPr>
        <w:t>hifzh al-mal</w:t>
      </w:r>
      <w:r w:rsidRPr="00F34E5C">
        <w:rPr>
          <w:rFonts w:ascii="Book Antiqua" w:hAnsi="Book Antiqua" w:cs="Times New Roman"/>
          <w:sz w:val="24"/>
          <w:szCs w:val="24"/>
        </w:rPr>
        <w:t>) dan keturunan (</w:t>
      </w:r>
      <w:r w:rsidRPr="00F34E5C">
        <w:rPr>
          <w:rFonts w:ascii="Book Antiqua" w:hAnsi="Book Antiqua" w:cs="Times New Roman"/>
          <w:i/>
          <w:iCs/>
          <w:sz w:val="24"/>
          <w:szCs w:val="24"/>
        </w:rPr>
        <w:t>hifzh al-nasl</w:t>
      </w:r>
      <w:r w:rsidRPr="00F34E5C">
        <w:rPr>
          <w:rFonts w:ascii="Book Antiqua" w:hAnsi="Book Antiqua" w:cs="Times New Roman"/>
          <w:sz w:val="24"/>
          <w:szCs w:val="24"/>
        </w:rPr>
        <w:t>). Fikih modern menawarkan konsep kepemilikan keluarga (</w:t>
      </w:r>
      <w:r w:rsidRPr="00F34E5C">
        <w:rPr>
          <w:rFonts w:ascii="Book Antiqua" w:hAnsi="Book Antiqua" w:cs="Times New Roman"/>
          <w:i/>
          <w:iCs/>
          <w:sz w:val="24"/>
          <w:szCs w:val="24"/>
        </w:rPr>
        <w:t>al-milkiyyah al-usariyyah</w:t>
      </w:r>
      <w:r w:rsidRPr="00F34E5C">
        <w:rPr>
          <w:rFonts w:ascii="Book Antiqua" w:hAnsi="Book Antiqua" w:cs="Times New Roman"/>
          <w:sz w:val="24"/>
          <w:szCs w:val="24"/>
        </w:rPr>
        <w:t xml:space="preserve">) yang merespons keadilan gender dan realitas sosial ekonomi dengan tidak memandang kepemilikan secara absolut dan individualistik semata, melainkan mengikatnya dengan fungsi sosial dan kemaslahatan. Reformulasi ini diusulkan melalui tiga tingkatan utama. Pada tingkat substansi, perlu adanya penyempurnaan aturan untuk mengakui serta </w:t>
      </w:r>
      <w:r w:rsidRPr="00F34E5C">
        <w:rPr>
          <w:rFonts w:ascii="Book Antiqua" w:hAnsi="Book Antiqua" w:cs="Times New Roman"/>
          <w:sz w:val="24"/>
          <w:szCs w:val="24"/>
        </w:rPr>
        <w:lastRenderedPageBreak/>
        <w:t>menilai (valuasi) kontribusi non-finansial seperti kerja domestik dan pengasuhan anak sebagai faktor penentu porsi pembagian harta, sehingga tidak kaku pada pembagian yang mutlak sama rata. Pada tingkat prosedur, eksekusi yang terikat atau memaksa harus diganti dengan model eksekusi berbasis mediasi dan kolaborasi pasca-putusan untuk merumuskan rencana pembagian secara sukarela. Sementara itu, pada tingkat kelembagaan, diusulkan pembentukan Unit Layanan Eksekusi Keluarga yang beranggotakan hakim mediator, jurusita spesialis, psikolog/konselor keluarga, dan konsultan keuangan untuk mendampingi proses eksekusi secara profesional dan manusiawi</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{"citationID":"bbGNfkjw","properties":{"formattedCitation":"(Hasanuddin, 2025)","plainCitation":"(Hasanuddin, 2025)","noteIndex":0},"citationItems":[{"id":3265,"uris":["http://zotero.org/users/14569500/items/587I228B"],"itemData":{"id":3265,"type":"article-journal","container-title":"ANDREW Law Journal","DOI":"10.61876/alj.v4i2.133","issue":"2","journalAbbreviation":"ANDREW Law Journal","page":"802-828","title":"Eksekusi Putusan Pengadilan Agama Atas Harta Bersama Dalam Perkara Perceraian: Studi Literatur Terhadap Konstruksi Hukum Eksekutorial Dan Gagasan Fiqih Modern Tentang Kepemilikan","volume":"4","author":[{"literal":"Hasanuddin"}],"issued":{"date-parts":[["2025"]]}}}],"schema":"https://github.com/citation-style-language/schema/raw/master/csl-citation.json"}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(Hasanuddin, 2025)</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33F5D5BB"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Meskipun Kompilasi Hukum Islam (KHI) telah mengatur penyatuan dan pembagian harta bersama dengan porsi seperdua bagian, penerapannya secara praktis kerap memunculkan kesenjangan karena minimnya pedoman matematis terhadap kontribusi non-finansial, seperti kerja domestik dan pengasuhan anak. Kesenjangan ini berdampak signifikan pada penyelesaian perceraian, di mana eksekusi pembagian harta sering kali berjalan kaku, memaksa, dan mengabaikan keadilan substantif bagi pihak yang rentan. Oleh karena itu, terdapat kebutuhan mendesak untuk merumuskan panduan baru bagi para hakim agar dapat menerapkan konsep kepemilikan keluarga (</w:t>
      </w:r>
      <w:r w:rsidRPr="00F34E5C">
        <w:rPr>
          <w:rFonts w:ascii="Book Antiqua" w:hAnsi="Book Antiqua" w:cs="Times New Roman"/>
          <w:i/>
          <w:iCs/>
          <w:sz w:val="24"/>
          <w:szCs w:val="24"/>
        </w:rPr>
        <w:t>al-milkiyyah al-usariyyah</w:t>
      </w:r>
      <w:r w:rsidRPr="00F34E5C">
        <w:rPr>
          <w:rFonts w:ascii="Book Antiqua" w:hAnsi="Book Antiqua" w:cs="Times New Roman"/>
          <w:sz w:val="24"/>
          <w:szCs w:val="24"/>
        </w:rPr>
        <w:t>) yang lebih responsif gender dan proporsional dalam memutus sengketa. Sebagai rekomendasi perbaikan kelembagaan dan prosedural, kajian ini mendesak peralihan menuju model eksekusi berbasis mediasi kolaboratif pasca-putusan serta perlunya pembentukan Unit Layanan Eksekusi Keluarga yang beranggotakan ahli lintas Lembaga untuk memastikan penyelesaian sengketa berjalan secara lebih manusiawi dan profesional.</w:t>
      </w:r>
    </w:p>
    <w:p w14:paraId="0A168882" w14:textId="77777777" w:rsidR="00E56A28" w:rsidRPr="00BE0B6C" w:rsidRDefault="00E56A28" w:rsidP="00132124">
      <w:pPr>
        <w:spacing w:after="0" w:line="276" w:lineRule="auto"/>
        <w:jc w:val="both"/>
        <w:rPr>
          <w:rFonts w:ascii="Book Antiqua" w:hAnsi="Book Antiqua" w:cstheme="majorBidi"/>
          <w:sz w:val="24"/>
          <w:szCs w:val="24"/>
        </w:rPr>
      </w:pPr>
    </w:p>
    <w:p w14:paraId="1D7F9BE0" w14:textId="1AC467B2" w:rsidR="00E56A28" w:rsidRPr="00BE0B6C" w:rsidRDefault="003D5616" w:rsidP="00132124">
      <w:pPr>
        <w:pStyle w:val="MetodePenelitian"/>
      </w:pPr>
      <w:r w:rsidRPr="00BE0B6C">
        <w:t>METODE</w:t>
      </w:r>
    </w:p>
    <w:p w14:paraId="229301A7" w14:textId="0DDBA5D0" w:rsidR="00003B3A" w:rsidRPr="00003B3A" w:rsidRDefault="00003B3A" w:rsidP="00132124">
      <w:pPr>
        <w:spacing w:after="0" w:line="276" w:lineRule="auto"/>
        <w:ind w:firstLine="720"/>
        <w:jc w:val="both"/>
        <w:rPr>
          <w:rFonts w:ascii="Book Antiqua" w:hAnsi="Book Antiqua" w:cs="Times New Roman"/>
          <w:sz w:val="24"/>
          <w:szCs w:val="24"/>
          <w:lang w:val="en-ID"/>
        </w:rPr>
      </w:pPr>
      <w:r w:rsidRPr="00003B3A">
        <w:rPr>
          <w:rFonts w:ascii="Book Antiqua" w:hAnsi="Book Antiqua" w:cs="Times New Roman"/>
          <w:sz w:val="24"/>
          <w:szCs w:val="24"/>
          <w:lang w:val="en-ID"/>
        </w:rPr>
        <w:t xml:space="preserve">Penelitian ini merupakan penelitian hukum normatif dengan jenis penelitian kepustakaan </w:t>
      </w:r>
      <w:r w:rsidRPr="00003B3A">
        <w:rPr>
          <w:rFonts w:ascii="Book Antiqua" w:hAnsi="Book Antiqua" w:cs="Times New Roman"/>
          <w:i/>
          <w:iCs/>
          <w:sz w:val="24"/>
          <w:szCs w:val="24"/>
          <w:lang w:val="en-ID"/>
        </w:rPr>
        <w:t>(library research),</w:t>
      </w:r>
      <w:r w:rsidRPr="00003B3A">
        <w:rPr>
          <w:rFonts w:ascii="Book Antiqua" w:hAnsi="Book Antiqua" w:cs="Times New Roman"/>
          <w:sz w:val="24"/>
          <w:szCs w:val="24"/>
          <w:lang w:val="en-ID"/>
        </w:rPr>
        <w:t xml:space="preserve"> yang bertujuan mengkaji konsep harta bersama sebagai reformulasi hukum Islam melalui perbandingan antara fikih klasik dan Kompilasi Hukum Islam (KHI)</w:t>
      </w:r>
      <w:r w:rsidR="00132124">
        <w:rPr>
          <w:rFonts w:ascii="Book Antiqua" w:hAnsi="Book Antiqua" w:cs="Times New Roman"/>
          <w:sz w:val="24"/>
          <w:szCs w:val="24"/>
          <w:lang w:val="en-ID"/>
        </w:rPr>
        <w:t xml:space="preserve"> </w:t>
      </w:r>
      <w:r w:rsidR="00132124" w:rsidRPr="00132124">
        <w:rPr>
          <w:rFonts w:ascii="Book Antiqua" w:hAnsi="Book Antiqua" w:cs="Times New Roman"/>
          <w:sz w:val="24"/>
          <w:szCs w:val="24"/>
          <w:lang w:val="en-ID"/>
        </w:rPr>
        <w:t>(Abdussamad, 2021)</w:t>
      </w:r>
      <w:r w:rsidRPr="00003B3A">
        <w:rPr>
          <w:rFonts w:ascii="Book Antiqua" w:hAnsi="Book Antiqua" w:cs="Times New Roman"/>
          <w:sz w:val="24"/>
          <w:szCs w:val="24"/>
          <w:lang w:val="en-ID"/>
        </w:rPr>
        <w:t xml:space="preserve">. Pendekatan yang digunakan adalah pendekatan perbandingan </w:t>
      </w:r>
      <w:r w:rsidRPr="00003B3A">
        <w:rPr>
          <w:rFonts w:ascii="Book Antiqua" w:hAnsi="Book Antiqua" w:cs="Times New Roman"/>
          <w:i/>
          <w:iCs/>
          <w:sz w:val="24"/>
          <w:szCs w:val="24"/>
          <w:lang w:val="en-ID"/>
        </w:rPr>
        <w:t>(comparative approach)</w:t>
      </w:r>
      <w:r w:rsidRPr="00003B3A">
        <w:rPr>
          <w:rFonts w:ascii="Book Antiqua" w:hAnsi="Book Antiqua" w:cs="Times New Roman"/>
          <w:sz w:val="24"/>
          <w:szCs w:val="24"/>
          <w:lang w:val="en-ID"/>
        </w:rPr>
        <w:t xml:space="preserve"> untuk menganalisis persamaan dan perbedaan konsep harta bersama dalam kedua sistem hukum tersebut, serta pendekatan konseptual </w:t>
      </w:r>
      <w:r w:rsidRPr="00003B3A">
        <w:rPr>
          <w:rFonts w:ascii="Book Antiqua" w:hAnsi="Book Antiqua" w:cs="Times New Roman"/>
          <w:i/>
          <w:iCs/>
          <w:sz w:val="24"/>
          <w:szCs w:val="24"/>
          <w:lang w:val="en-ID"/>
        </w:rPr>
        <w:t>(conceptual approach)</w:t>
      </w:r>
      <w:r w:rsidRPr="00003B3A">
        <w:rPr>
          <w:rFonts w:ascii="Book Antiqua" w:hAnsi="Book Antiqua" w:cs="Times New Roman"/>
          <w:sz w:val="24"/>
          <w:szCs w:val="24"/>
          <w:lang w:val="en-ID"/>
        </w:rPr>
        <w:t xml:space="preserve"> untuk memahami konsep kepemilikan harta dalam perkawinan menurut hukum Islam dan hukum positif di Indonesia.</w:t>
      </w:r>
    </w:p>
    <w:p w14:paraId="7CB31AF6" w14:textId="77777777" w:rsidR="00003B3A" w:rsidRPr="00003B3A" w:rsidRDefault="00003B3A" w:rsidP="00132124">
      <w:pPr>
        <w:spacing w:after="0" w:line="276" w:lineRule="auto"/>
        <w:ind w:firstLine="720"/>
        <w:jc w:val="both"/>
        <w:rPr>
          <w:rFonts w:ascii="Book Antiqua" w:hAnsi="Book Antiqua" w:cs="Times New Roman"/>
          <w:sz w:val="24"/>
          <w:szCs w:val="24"/>
          <w:lang w:val="en-ID"/>
        </w:rPr>
      </w:pPr>
      <w:r w:rsidRPr="00003B3A">
        <w:rPr>
          <w:rFonts w:ascii="Book Antiqua" w:hAnsi="Book Antiqua" w:cs="Times New Roman"/>
          <w:sz w:val="24"/>
          <w:szCs w:val="24"/>
          <w:lang w:val="en-ID"/>
        </w:rPr>
        <w:t xml:space="preserve">Sumber data dalam penelitian ini terdiri atas data sekunder yang diperoleh dari berbagai literatur. Sumber primer meliputi Al-Qur’an, Hadis, kitab-kitab fikih klasik dari berbagai mazhab, serta Kompilasi Hukum Islam (KHI), khususnya ketentuan yang mengatur harta bersama. Adapun sumber sekunder berupa buku, jurnal ilmiah, skripsi, tesis, disertasi, dan hasil penelitian yang relevan dengan tema </w:t>
      </w:r>
      <w:r w:rsidRPr="00003B3A">
        <w:rPr>
          <w:rFonts w:ascii="Book Antiqua" w:hAnsi="Book Antiqua" w:cs="Times New Roman"/>
          <w:sz w:val="24"/>
          <w:szCs w:val="24"/>
          <w:lang w:val="en-ID"/>
        </w:rPr>
        <w:lastRenderedPageBreak/>
        <w:t>penelitian. Selain itu, sumber tersier seperti kamus, ensiklopedia, dan bahan referensi lainnya digunakan untuk mendukung pemahaman terhadap objek kajian.</w:t>
      </w:r>
    </w:p>
    <w:p w14:paraId="7E1E5184" w14:textId="77777777" w:rsidR="00003B3A" w:rsidRPr="00003B3A" w:rsidRDefault="00003B3A" w:rsidP="00132124">
      <w:pPr>
        <w:spacing w:after="0" w:line="276" w:lineRule="auto"/>
        <w:ind w:firstLine="720"/>
        <w:jc w:val="both"/>
        <w:rPr>
          <w:rFonts w:ascii="Book Antiqua" w:hAnsi="Book Antiqua" w:cs="Times New Roman"/>
          <w:sz w:val="24"/>
          <w:szCs w:val="24"/>
          <w:lang w:val="en-ID"/>
        </w:rPr>
      </w:pPr>
      <w:r w:rsidRPr="00003B3A">
        <w:rPr>
          <w:rFonts w:ascii="Book Antiqua" w:hAnsi="Book Antiqua" w:cs="Times New Roman"/>
          <w:sz w:val="24"/>
          <w:szCs w:val="24"/>
          <w:lang w:val="en-ID"/>
        </w:rPr>
        <w:t>Metode pengumpulan data dilakukan melalui studi dokumentasi atau studi kepustakaan dengan cara menelusuri, membaca, mencatat, dan mengklasifikasikan berbagai sumber yang berkaitan dengan harta bersama dalam fikih klasik dan KHI. Data yang telah terkumpul kemudian dianalisis secara kualitatif menggunakan metode deskriptif-analitis dan komparatif. Analisis dilakukan dengan mendeskripsikan konsep harta bersama menurut fikih klasik dan KHI, kemudian membandingkannya untuk menemukan persamaan, perbedaan, serta bentuk reformulasi hukum Islam yang tercermin dalam pengaturan harta bersama di Indonesia.</w:t>
      </w:r>
    </w:p>
    <w:p w14:paraId="0C172F70" w14:textId="77777777" w:rsidR="00F34E5C" w:rsidRDefault="00F34E5C" w:rsidP="00132124">
      <w:pPr>
        <w:spacing w:after="0" w:line="276" w:lineRule="auto"/>
        <w:jc w:val="both"/>
        <w:rPr>
          <w:rFonts w:ascii="Book Antiqua" w:hAnsi="Book Antiqua" w:cstheme="majorBidi"/>
          <w:sz w:val="24"/>
          <w:szCs w:val="24"/>
        </w:rPr>
      </w:pPr>
    </w:p>
    <w:p w14:paraId="1BF08067" w14:textId="18DA5C64" w:rsidR="00892CB8" w:rsidRPr="00F34E5C" w:rsidRDefault="00326E82" w:rsidP="00132124">
      <w:pPr>
        <w:spacing w:after="0" w:line="276" w:lineRule="auto"/>
        <w:jc w:val="both"/>
        <w:rPr>
          <w:rFonts w:ascii="Book Antiqua" w:hAnsi="Book Antiqua" w:cstheme="majorBidi"/>
          <w:b/>
          <w:bCs/>
          <w:sz w:val="24"/>
          <w:szCs w:val="24"/>
        </w:rPr>
      </w:pPr>
      <w:r w:rsidRPr="00F34E5C">
        <w:rPr>
          <w:rFonts w:ascii="Book Antiqua" w:hAnsi="Book Antiqua" w:cstheme="majorBidi"/>
          <w:b/>
          <w:bCs/>
          <w:sz w:val="24"/>
          <w:szCs w:val="24"/>
        </w:rPr>
        <w:t xml:space="preserve">HASIL </w:t>
      </w:r>
      <w:r w:rsidR="00672AAC" w:rsidRPr="00F34E5C">
        <w:rPr>
          <w:rFonts w:ascii="Book Antiqua" w:hAnsi="Book Antiqua" w:cstheme="majorBidi"/>
          <w:b/>
          <w:bCs/>
          <w:sz w:val="24"/>
          <w:szCs w:val="24"/>
        </w:rPr>
        <w:t>DAN</w:t>
      </w:r>
      <w:r w:rsidRPr="00F34E5C">
        <w:rPr>
          <w:rFonts w:ascii="Book Antiqua" w:hAnsi="Book Antiqua" w:cstheme="majorBidi"/>
          <w:b/>
          <w:bCs/>
          <w:sz w:val="24"/>
          <w:szCs w:val="24"/>
        </w:rPr>
        <w:t xml:space="preserve"> PEMBAHASAN</w:t>
      </w:r>
    </w:p>
    <w:p w14:paraId="755D591A" w14:textId="77777777" w:rsidR="00F34E5C" w:rsidRPr="00F34E5C" w:rsidRDefault="00F34E5C" w:rsidP="00132124">
      <w:pPr>
        <w:spacing w:after="0" w:line="276" w:lineRule="auto"/>
        <w:jc w:val="both"/>
        <w:rPr>
          <w:rFonts w:ascii="Book Antiqua" w:hAnsi="Book Antiqua" w:cs="Times New Roman"/>
          <w:b/>
          <w:bCs/>
          <w:sz w:val="24"/>
          <w:szCs w:val="24"/>
        </w:rPr>
      </w:pPr>
      <w:r w:rsidRPr="00F34E5C">
        <w:rPr>
          <w:rFonts w:ascii="Book Antiqua" w:hAnsi="Book Antiqua" w:cs="Times New Roman"/>
          <w:b/>
          <w:bCs/>
          <w:sz w:val="24"/>
          <w:szCs w:val="24"/>
        </w:rPr>
        <w:t>Konsep Harta Bersama dalam Perspektif Fikih Klasik</w:t>
      </w:r>
    </w:p>
    <w:p w14:paraId="1930200D"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Kata harta (</w:t>
      </w:r>
      <w:r w:rsidRPr="00F34E5C">
        <w:rPr>
          <w:rFonts w:ascii="Book Antiqua" w:hAnsi="Book Antiqua" w:cs="Times New Roman"/>
          <w:i/>
          <w:iCs/>
          <w:sz w:val="24"/>
          <w:szCs w:val="24"/>
        </w:rPr>
        <w:t>al-mal</w:t>
      </w:r>
      <w:r w:rsidRPr="00F34E5C">
        <w:rPr>
          <w:rFonts w:ascii="Book Antiqua" w:hAnsi="Book Antiqua" w:cs="Times New Roman"/>
          <w:sz w:val="24"/>
          <w:szCs w:val="24"/>
        </w:rPr>
        <w:t xml:space="preserve">) berasal dari akar kata </w:t>
      </w:r>
      <w:r w:rsidRPr="00F34E5C">
        <w:rPr>
          <w:rFonts w:ascii="Book Antiqua" w:hAnsi="Book Antiqua" w:cs="Times New Roman"/>
          <w:i/>
          <w:iCs/>
          <w:sz w:val="24"/>
          <w:szCs w:val="24"/>
        </w:rPr>
        <w:t>maala-yamiilu-mailan</w:t>
      </w:r>
      <w:r w:rsidRPr="00F34E5C">
        <w:rPr>
          <w:rFonts w:ascii="Book Antiqua" w:hAnsi="Book Antiqua" w:cs="Times New Roman"/>
          <w:sz w:val="24"/>
          <w:szCs w:val="24"/>
        </w:rPr>
        <w:t xml:space="preserve"> yang berarti condong, miring, suka, senang, atau berpaling dari tengah ke salah satu sisi. Makna ini menunjukkan bahwa harta adalah segala sesuatu yang menyenangkan atau dicondongi oleh manusia untuk dipelihara, baik dalam wujud materi maupun manfaat. Sementara itu, secara terminologi, ulama Hanafiyah mendefinisikan harta sebagai segala sesuatu yang diminati oleh manusia dan dapat dihadirkan ketika diperlukan, atau segala sesuatu yang dapat dimiliki, disimpan, serta dimanfaatkan. Berdasarkan pandangan para </w:t>
      </w:r>
      <w:r w:rsidRPr="00F34E5C">
        <w:rPr>
          <w:rFonts w:ascii="Book Antiqua" w:hAnsi="Book Antiqua" w:cs="Times New Roman"/>
          <w:i/>
          <w:iCs/>
          <w:sz w:val="24"/>
          <w:szCs w:val="24"/>
        </w:rPr>
        <w:t>fuqaha</w:t>
      </w:r>
      <w:r w:rsidRPr="00F34E5C">
        <w:rPr>
          <w:rFonts w:ascii="Book Antiqua" w:hAnsi="Book Antiqua" w:cs="Times New Roman"/>
          <w:sz w:val="24"/>
          <w:szCs w:val="24"/>
        </w:rPr>
        <w:t xml:space="preserve">, suatu benda baru bisa disebut sebagai harta apabila memenuhi dua unsur utama, yakni unsur </w:t>
      </w:r>
      <w:r w:rsidRPr="00F34E5C">
        <w:rPr>
          <w:rFonts w:ascii="Book Antiqua" w:hAnsi="Book Antiqua" w:cs="Times New Roman"/>
          <w:b/>
          <w:bCs/>
          <w:i/>
          <w:iCs/>
          <w:sz w:val="24"/>
          <w:szCs w:val="24"/>
        </w:rPr>
        <w:t>'</w:t>
      </w:r>
      <w:r w:rsidRPr="00F34E5C">
        <w:rPr>
          <w:rFonts w:ascii="Book Antiqua" w:hAnsi="Book Antiqua" w:cs="Times New Roman"/>
          <w:i/>
          <w:iCs/>
          <w:sz w:val="24"/>
          <w:szCs w:val="24"/>
        </w:rPr>
        <w:t>aniyyah</w:t>
      </w:r>
      <w:r w:rsidRPr="00F34E5C">
        <w:rPr>
          <w:rFonts w:ascii="Book Antiqua" w:hAnsi="Book Antiqua" w:cs="Times New Roman"/>
          <w:sz w:val="24"/>
          <w:szCs w:val="24"/>
        </w:rPr>
        <w:t xml:space="preserve"> yang berarti harta tersebut harus memiliki kenyataan atau berwujud fisik (</w:t>
      </w:r>
      <w:r w:rsidRPr="00F34E5C">
        <w:rPr>
          <w:rFonts w:ascii="Book Antiqua" w:hAnsi="Book Antiqua" w:cs="Times New Roman"/>
          <w:i/>
          <w:iCs/>
          <w:sz w:val="24"/>
          <w:szCs w:val="24"/>
        </w:rPr>
        <w:t>a'yun</w:t>
      </w:r>
      <w:r w:rsidRPr="00F34E5C">
        <w:rPr>
          <w:rFonts w:ascii="Book Antiqua" w:hAnsi="Book Antiqua" w:cs="Times New Roman"/>
          <w:sz w:val="24"/>
          <w:szCs w:val="24"/>
        </w:rPr>
        <w:t xml:space="preserve">), dan unsur </w:t>
      </w:r>
      <w:r w:rsidRPr="00F34E5C">
        <w:rPr>
          <w:rFonts w:ascii="Book Antiqua" w:hAnsi="Book Antiqua" w:cs="Times New Roman"/>
          <w:i/>
          <w:iCs/>
          <w:sz w:val="24"/>
          <w:szCs w:val="24"/>
        </w:rPr>
        <w:t>'urf</w:t>
      </w:r>
      <w:r w:rsidRPr="00F34E5C">
        <w:rPr>
          <w:rFonts w:ascii="Book Antiqua" w:hAnsi="Book Antiqua" w:cs="Times New Roman"/>
          <w:sz w:val="24"/>
          <w:szCs w:val="24"/>
        </w:rPr>
        <w:t xml:space="preserve"> yang berarti segala sesuatu itu dipandang sebagai harta oleh sebagian atau seluruh manusia karena memiliki nilai ekonomis dan kemanfaatan.</w:t>
      </w:r>
    </w:p>
    <w:p w14:paraId="664A51E3" w14:textId="065AEFAA"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Terkait dengan kepemilikan (</w:t>
      </w:r>
      <w:r w:rsidRPr="00F34E5C">
        <w:rPr>
          <w:rFonts w:ascii="Book Antiqua" w:hAnsi="Book Antiqua" w:cs="Times New Roman"/>
          <w:i/>
          <w:iCs/>
          <w:sz w:val="24"/>
          <w:szCs w:val="24"/>
        </w:rPr>
        <w:t>Al-Milikiyyah</w:t>
      </w:r>
      <w:r w:rsidRPr="00F34E5C">
        <w:rPr>
          <w:rFonts w:ascii="Book Antiqua" w:hAnsi="Book Antiqua" w:cs="Times New Roman"/>
          <w:sz w:val="24"/>
          <w:szCs w:val="24"/>
        </w:rPr>
        <w:t xml:space="preserve">), istilah ini dalam hukum Islam dimaknai sebagai hubungan khusus antara manusia dan harta, yang menjadikan harta tersebut secara sah melekat pada penguasaannya. Hukum Islam membagi status kepemilikan ini ke dalam lima kategori, yakni kepemilikan individu, kepemilikan umum, kepemilikan negara, </w:t>
      </w:r>
      <w:r w:rsidRPr="00F34E5C">
        <w:rPr>
          <w:rFonts w:ascii="Book Antiqua" w:hAnsi="Book Antiqua" w:cs="Times New Roman"/>
          <w:i/>
          <w:iCs/>
          <w:sz w:val="24"/>
          <w:szCs w:val="24"/>
        </w:rPr>
        <w:t>al-milk at-tamm</w:t>
      </w:r>
      <w:r w:rsidRPr="00F34E5C">
        <w:rPr>
          <w:rFonts w:ascii="Book Antiqua" w:hAnsi="Book Antiqua" w:cs="Times New Roman"/>
          <w:sz w:val="24"/>
          <w:szCs w:val="24"/>
        </w:rPr>
        <w:t xml:space="preserve"> (milik sempurna), dan </w:t>
      </w:r>
      <w:r w:rsidRPr="00F34E5C">
        <w:rPr>
          <w:rFonts w:ascii="Book Antiqua" w:hAnsi="Book Antiqua" w:cs="Times New Roman"/>
          <w:i/>
          <w:iCs/>
          <w:sz w:val="24"/>
          <w:szCs w:val="24"/>
        </w:rPr>
        <w:t>al-milk an-naqish</w:t>
      </w:r>
      <w:r w:rsidRPr="00F34E5C">
        <w:rPr>
          <w:rFonts w:ascii="Book Antiqua" w:hAnsi="Book Antiqua" w:cs="Times New Roman"/>
          <w:sz w:val="24"/>
          <w:szCs w:val="24"/>
        </w:rPr>
        <w:t xml:space="preserve"> (milik tidak sempurna). Adapun hak atas kepemilikan harta tersebut tidak muncul begitu saja, melainkan dapat diperoleh secara sah melalui empat sebab. Seseorang bisa memiliki harta melalui </w:t>
      </w:r>
      <w:r w:rsidRPr="00F34E5C">
        <w:rPr>
          <w:rFonts w:ascii="Book Antiqua" w:hAnsi="Book Antiqua" w:cs="Times New Roman"/>
          <w:i/>
          <w:iCs/>
          <w:sz w:val="24"/>
          <w:szCs w:val="24"/>
        </w:rPr>
        <w:t xml:space="preserve">ihraz al-mubahat </w:t>
      </w:r>
      <w:r w:rsidRPr="00F34E5C">
        <w:rPr>
          <w:rFonts w:ascii="Book Antiqua" w:hAnsi="Book Antiqua" w:cs="Times New Roman"/>
          <w:sz w:val="24"/>
          <w:szCs w:val="24"/>
        </w:rPr>
        <w:t xml:space="preserve">(penguasaan harta bebas), yakni menguasai harta tak bertuan atau belum dimiliki siapa pun dengan niat untuk memilikinya. Hak milik juga bisa muncul melalui </w:t>
      </w:r>
      <w:r w:rsidRPr="00F34E5C">
        <w:rPr>
          <w:rFonts w:ascii="Book Antiqua" w:hAnsi="Book Antiqua" w:cs="Times New Roman"/>
          <w:i/>
          <w:iCs/>
          <w:sz w:val="24"/>
          <w:szCs w:val="24"/>
        </w:rPr>
        <w:t>at-tawallud</w:t>
      </w:r>
      <w:r w:rsidRPr="00F34E5C">
        <w:rPr>
          <w:rFonts w:ascii="Book Antiqua" w:hAnsi="Book Antiqua" w:cs="Times New Roman"/>
          <w:sz w:val="24"/>
          <w:szCs w:val="24"/>
        </w:rPr>
        <w:t xml:space="preserve"> (perkembangbiakan), di mana hasil atau peranakan dari sebuah harta yang sudah dimiliki otomatis menjadi hak milik pemiliknya. Selain itu, kepemilikan dapat beralih melalui </w:t>
      </w:r>
      <w:r w:rsidRPr="00F34E5C">
        <w:rPr>
          <w:rFonts w:ascii="Book Antiqua" w:hAnsi="Book Antiqua" w:cs="Times New Roman"/>
          <w:i/>
          <w:iCs/>
          <w:sz w:val="24"/>
          <w:szCs w:val="24"/>
        </w:rPr>
        <w:t>al-khalafiyah</w:t>
      </w:r>
      <w:r w:rsidRPr="00F34E5C">
        <w:rPr>
          <w:rFonts w:ascii="Book Antiqua" w:hAnsi="Book Antiqua" w:cs="Times New Roman"/>
          <w:sz w:val="24"/>
          <w:szCs w:val="24"/>
        </w:rPr>
        <w:t xml:space="preserve"> (pergantian) baik berupa pergantian orang seperti proses warisan maupun pergantian benda karena ganti rugi, serta melalui </w:t>
      </w:r>
      <w:r w:rsidRPr="00F34E5C">
        <w:rPr>
          <w:rFonts w:ascii="Book Antiqua" w:hAnsi="Book Antiqua" w:cs="Times New Roman"/>
          <w:i/>
          <w:iCs/>
          <w:sz w:val="24"/>
          <w:szCs w:val="24"/>
        </w:rPr>
        <w:t>al-'aqd</w:t>
      </w:r>
      <w:r w:rsidRPr="00F34E5C">
        <w:rPr>
          <w:rFonts w:ascii="Book Antiqua" w:hAnsi="Book Antiqua" w:cs="Times New Roman"/>
          <w:sz w:val="24"/>
          <w:szCs w:val="24"/>
        </w:rPr>
        <w:t xml:space="preserve"> </w:t>
      </w:r>
      <w:r w:rsidRPr="00F34E5C">
        <w:rPr>
          <w:rFonts w:ascii="Book Antiqua" w:hAnsi="Book Antiqua" w:cs="Times New Roman"/>
          <w:sz w:val="24"/>
          <w:szCs w:val="24"/>
        </w:rPr>
        <w:lastRenderedPageBreak/>
        <w:t xml:space="preserve">(akad atau perikatan) yang merupakan pertalian </w:t>
      </w:r>
      <w:r w:rsidRPr="00F34E5C">
        <w:rPr>
          <w:rFonts w:ascii="Book Antiqua" w:hAnsi="Book Antiqua" w:cs="Times New Roman"/>
          <w:i/>
          <w:iCs/>
          <w:sz w:val="24"/>
          <w:szCs w:val="24"/>
        </w:rPr>
        <w:t>ijab</w:t>
      </w:r>
      <w:r w:rsidRPr="00F34E5C">
        <w:rPr>
          <w:rFonts w:ascii="Book Antiqua" w:hAnsi="Book Antiqua" w:cs="Times New Roman"/>
          <w:sz w:val="24"/>
          <w:szCs w:val="24"/>
        </w:rPr>
        <w:t xml:space="preserve"> dan </w:t>
      </w:r>
      <w:r w:rsidRPr="00F34E5C">
        <w:rPr>
          <w:rFonts w:ascii="Book Antiqua" w:hAnsi="Book Antiqua" w:cs="Times New Roman"/>
          <w:i/>
          <w:iCs/>
          <w:sz w:val="24"/>
          <w:szCs w:val="24"/>
        </w:rPr>
        <w:t>kabul</w:t>
      </w:r>
      <w:r w:rsidRPr="00F34E5C">
        <w:rPr>
          <w:rFonts w:ascii="Book Antiqua" w:hAnsi="Book Antiqua" w:cs="Times New Roman"/>
          <w:sz w:val="24"/>
          <w:szCs w:val="24"/>
        </w:rPr>
        <w:t xml:space="preserve"> sesuai ketentuan syariat untuk memindahkan hak milik</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{"citationID":"2WNCKlpC","properties":{"formattedCitation":"(Nasution, 2023)","plainCitation":"(Nasution, 2023)","noteIndex":0},"citationItems":[{"id":3251,"uris":["http://zotero.org/users/14569500/items/JGJQ9IRS"],"itemData":{"id":3251,"type":"article-journal","container-title":"Jurnal Cakrawala Ilmiah","DOI":"10.53625/jcijurnalcakrawalailmiah.v2i9.5668","issue":"9","journalAbbreviation":"Jurnal Cakrawala Ilmiah","page":"3523-3538","title":"Paradigma Harta (Al-Mal) dalam Perspektif Hukum Islam dan Hukum Nasional di Indonesia","volume":"2","author":[{"family":"Nasution","given":"Abdul Saman"}],"issued":{"date-parts":[["2023"]]}}}],"schema":"https://github.com/citation-style-language/schema/raw/master/csl-citation.json"}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(Nasution, 2023)</w:t>
      </w:r>
      <w:r w:rsidR="00C618AA">
        <w:rPr>
          <w:rFonts w:ascii="Book Antiqua" w:hAnsi="Book Antiqua" w:cs="Times New Roman"/>
          <w:sz w:val="24"/>
          <w:szCs w:val="24"/>
        </w:rPr>
        <w:fldChar w:fldCharType="end"/>
      </w:r>
      <w:r w:rsidR="00C618AA">
        <w:rPr>
          <w:rFonts w:ascii="Book Antiqua" w:hAnsi="Book Antiqua" w:cs="Times New Roman"/>
          <w:sz w:val="24"/>
          <w:szCs w:val="24"/>
        </w:rPr>
        <w:t>.</w:t>
      </w:r>
    </w:p>
    <w:p w14:paraId="4C345006"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Pandangan mazhab-mazhab Sunni dalam fikih klasik, prinsip utama setelah akad nikah adalah pemisahan kepemilikan harta antara suami dan istri. Hukum Islam klasik tidak mengakui adanya peleburan atau penggabungan aset secara otomatis semata-mata karena terjadinya ikatan perkawinan. Hak kepemilikan independen perempuan sangat diakui dalam hal ini; seorang istri memiliki hak milik penuh atas harta yang diperoleh melalui usahanya sendiri, dan suami tidak memiliki hak kontrol bawaan (</w:t>
      </w:r>
      <w:r w:rsidRPr="00F34E5C">
        <w:rPr>
          <w:rFonts w:ascii="Book Antiqua" w:hAnsi="Book Antiqua" w:cs="Times New Roman"/>
          <w:i/>
          <w:iCs/>
          <w:sz w:val="24"/>
          <w:szCs w:val="24"/>
        </w:rPr>
        <w:t>inheren</w:t>
      </w:r>
      <w:r w:rsidRPr="00F34E5C">
        <w:rPr>
          <w:rFonts w:ascii="Book Antiqua" w:hAnsi="Book Antiqua" w:cs="Times New Roman"/>
          <w:sz w:val="24"/>
          <w:szCs w:val="24"/>
        </w:rPr>
        <w:t xml:space="preserve">) atas harta tersebut. </w:t>
      </w:r>
    </w:p>
    <w:p w14:paraId="0DEED8DD" w14:textId="70C59B5B"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Meskipun prinsip dasarnya adalah pemisahan harta, mazhab-mazhab fikih tidak menutup kemungkinan adanya hak ekonomi bersama apabila terdapat kontribusi yang nyata. Fikih klasik menyediakan berbagai sumber , seperti konsep </w:t>
      </w:r>
      <w:r w:rsidRPr="00F34E5C">
        <w:rPr>
          <w:rFonts w:ascii="Book Antiqua" w:hAnsi="Book Antiqua" w:cs="Times New Roman"/>
          <w:i/>
          <w:iCs/>
          <w:sz w:val="24"/>
          <w:szCs w:val="24"/>
        </w:rPr>
        <w:t>milkiyyah</w:t>
      </w:r>
      <w:r w:rsidRPr="00F34E5C">
        <w:rPr>
          <w:rFonts w:ascii="Book Antiqua" w:hAnsi="Book Antiqua" w:cs="Times New Roman"/>
          <w:sz w:val="24"/>
          <w:szCs w:val="24"/>
        </w:rPr>
        <w:t xml:space="preserve"> (kepemilikan), </w:t>
      </w:r>
      <w:r w:rsidR="00003B3A" w:rsidRPr="00003B3A">
        <w:rPr>
          <w:rFonts w:ascii="Book Antiqua" w:hAnsi="Book Antiqua" w:cs="Times New Roman"/>
          <w:i/>
          <w:iCs/>
          <w:sz w:val="24"/>
          <w:szCs w:val="24"/>
        </w:rPr>
        <w:t>syirkah</w:t>
      </w:r>
      <w:r w:rsidRPr="00F34E5C">
        <w:rPr>
          <w:rFonts w:ascii="Book Antiqua" w:hAnsi="Book Antiqua" w:cs="Times New Roman"/>
          <w:sz w:val="24"/>
          <w:szCs w:val="24"/>
        </w:rPr>
        <w:t xml:space="preserve"> (kemitraan), </w:t>
      </w:r>
      <w:r w:rsidRPr="00F34E5C">
        <w:rPr>
          <w:rFonts w:ascii="Book Antiqua" w:hAnsi="Book Antiqua" w:cs="Times New Roman"/>
          <w:i/>
          <w:iCs/>
          <w:sz w:val="24"/>
          <w:szCs w:val="24"/>
        </w:rPr>
        <w:t>'urf</w:t>
      </w:r>
      <w:r w:rsidRPr="00F34E5C">
        <w:rPr>
          <w:rFonts w:ascii="Book Antiqua" w:hAnsi="Book Antiqua" w:cs="Times New Roman"/>
          <w:sz w:val="24"/>
          <w:szCs w:val="24"/>
        </w:rPr>
        <w:t xml:space="preserve"> (kebiasaan masyarakat), </w:t>
      </w:r>
      <w:r w:rsidRPr="00F34E5C">
        <w:rPr>
          <w:rFonts w:ascii="Book Antiqua" w:hAnsi="Book Antiqua" w:cs="Times New Roman"/>
          <w:i/>
          <w:iCs/>
          <w:sz w:val="24"/>
          <w:szCs w:val="24"/>
        </w:rPr>
        <w:t>nafaqah</w:t>
      </w:r>
      <w:r w:rsidRPr="00F34E5C">
        <w:rPr>
          <w:rFonts w:ascii="Book Antiqua" w:hAnsi="Book Antiqua" w:cs="Times New Roman"/>
          <w:sz w:val="24"/>
          <w:szCs w:val="24"/>
        </w:rPr>
        <w:t xml:space="preserve"> (nafkah), dan </w:t>
      </w:r>
      <w:r w:rsidRPr="00F34E5C">
        <w:rPr>
          <w:rFonts w:ascii="Book Antiqua" w:hAnsi="Book Antiqua" w:cs="Times New Roman"/>
          <w:i/>
          <w:iCs/>
          <w:sz w:val="24"/>
          <w:szCs w:val="24"/>
        </w:rPr>
        <w:t>maqashid al-syari'ah</w:t>
      </w:r>
      <w:r w:rsidRPr="00F34E5C">
        <w:rPr>
          <w:rFonts w:ascii="Book Antiqua" w:hAnsi="Book Antiqua" w:cs="Times New Roman"/>
          <w:sz w:val="24"/>
          <w:szCs w:val="24"/>
        </w:rPr>
        <w:t xml:space="preserve"> untuk mengakui hak-hak yang timbul dari kontribusi suami maupun istri, baik itu kontribusi finansial secara langsung maupun kontribusi domestik secara tidak langsung. Perbedaan utama di antara mazhab-mazhab tersebut bukanlah pada diakuinya hak milik independen perempuan karena hal ini sudah sangat mapan diakui melainkan pada jalur atau metode Istimbath yang digunakan untuk menerjemahkan kontribusi dalam keluarga dan ekonomi tersebut menjadi hak tuntutan hukum yang sah atas aset-aset keluarga</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{"citationID":"t6ll6mNP","properties":{"formattedCitation":"(Mubarak dkk., 2026)","plainCitation":"(Mubarak dkk., 2026)","noteIndex":0},"citationItems":[{"id":3252,"uris":["http://zotero.org/users/14569500/items/3BZEED4X"],"itemData":{"id":3252,"type":"article-journal","container-title":"Syariah: Jurnal Hukum dan Pemikiran","DOI":"10.18592/sjhp.v26i1.20553","issue":"1","journalAbbreviation":"Syariah: Jurnal Hukum dan Pemikiran","page":"27-48","title":"Marital Property Regimes in Islamic Law: A Comparative Madhhab Analysis and Its Integration into Modern Islamic Economic Governance","volume":"26","author":[{"family":"Mubarak","given":"Ahmad"},{"family":"Nazmi","given":"Nahdia"},{"family":"Abduh","given":"Muhamad Rahmani"},{"family":"Azkia","given":"Nurul"},{"family":"Listiana","given":"Novy"},{"family":"Ashidiqi","given":"Iqnaul Umam"}],"issued":{"date-parts":[["2026"]]}}}],"schema":"https://github.com/citation-style-language/schema/raw/master/csl-citation.json"}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(Mubarak dkk., 2026)</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1F02523B"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Konsep dasar kepemilikan (</w:t>
      </w:r>
      <w:r w:rsidRPr="00F34E5C">
        <w:rPr>
          <w:rFonts w:ascii="Book Antiqua" w:hAnsi="Book Antiqua" w:cs="Times New Roman"/>
          <w:i/>
          <w:iCs/>
          <w:sz w:val="24"/>
          <w:szCs w:val="24"/>
        </w:rPr>
        <w:t>al-milkiyah</w:t>
      </w:r>
      <w:r w:rsidRPr="00F34E5C">
        <w:rPr>
          <w:rFonts w:ascii="Book Antiqua" w:hAnsi="Book Antiqua" w:cs="Times New Roman"/>
          <w:sz w:val="24"/>
          <w:szCs w:val="24"/>
        </w:rPr>
        <w:t>) dalam Islam berasal pada prinsip fundamental bahwa Allah SWT adalah pemilik mutlak dan hakiki atas segala sesuatu yang ada di alam semesta. Landasan utama dari prinsip kepemilikan ini secara tegas dicantumkan dalam Al-Qur'an Surah Al-Ma'idah ayat 120:</w:t>
      </w:r>
    </w:p>
    <w:p w14:paraId="371960E6" w14:textId="77777777" w:rsidR="00F34E5C" w:rsidRPr="00132124" w:rsidRDefault="00F34E5C" w:rsidP="00132124">
      <w:pPr>
        <w:spacing w:after="0" w:line="276" w:lineRule="auto"/>
        <w:ind w:firstLine="720"/>
        <w:jc w:val="right"/>
        <w:rPr>
          <w:rFonts w:ascii="Traditional Arabic" w:hAnsi="Traditional Arabic" w:cs="Traditional Arabic"/>
          <w:sz w:val="32"/>
          <w:szCs w:val="32"/>
        </w:rPr>
      </w:pPr>
      <w:r w:rsidRPr="00132124">
        <w:rPr>
          <w:rFonts w:ascii="Traditional Arabic" w:hAnsi="Traditional Arabic" w:cs="Traditional Arabic"/>
          <w:sz w:val="32"/>
          <w:szCs w:val="32"/>
        </w:rPr>
        <w:t xml:space="preserve"> لِلَّهِ مُلْكُ السَّمَوتِ وَالْأَرْضِ وَمَا فِيهِنَّ وَهُوَ عَلَى كُلِّ شَيْءٍ قَدِيرٌ </w:t>
      </w:r>
    </w:p>
    <w:p w14:paraId="63A72B9F" w14:textId="77777777" w:rsidR="00F34E5C" w:rsidRPr="00F34E5C" w:rsidRDefault="00F34E5C" w:rsidP="00132124">
      <w:pPr>
        <w:spacing w:after="0" w:line="276" w:lineRule="auto"/>
        <w:ind w:left="720"/>
        <w:jc w:val="both"/>
        <w:rPr>
          <w:rFonts w:ascii="Book Antiqua" w:hAnsi="Book Antiqua" w:cs="Times New Roman"/>
          <w:i/>
          <w:iCs/>
          <w:sz w:val="24"/>
          <w:szCs w:val="24"/>
        </w:rPr>
      </w:pPr>
      <w:r w:rsidRPr="00F34E5C">
        <w:rPr>
          <w:rFonts w:ascii="Book Antiqua" w:hAnsi="Book Antiqua" w:cs="Times New Roman"/>
          <w:i/>
          <w:iCs/>
          <w:sz w:val="24"/>
          <w:szCs w:val="24"/>
        </w:rPr>
        <w:t xml:space="preserve">"Kepunyaan Allah lah kerajaan di langit dan di bumi dan apa yang ada di dalamnya, dan Dia maha kuasa atas segala sesuatu". </w:t>
      </w:r>
    </w:p>
    <w:p w14:paraId="1F416B53" w14:textId="1C38AB01"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Berdasarkan ayat tersebut, kepemilikan manusia atas harta kekayaan pada dasarnya hanyalah sebuah titipan dan amanah. Meskipun manusia diberikan kebebasan riil untuk memiliki, menguasai, dan memanfaatkan harta benda, hak kepemilikan individu dalam Islam tidaklah bersifat absolut, melainkan bersyarat dan dibatasi oleh ketentuan yang ditetapkan oleh-Nya</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{"citationID":"zdWBw4AU","properties":{"formattedCitation":"(Irwansyah, 2018)","plainCitation":"(Irwansyah, 2018)","noteIndex":0},"citationItems":[{"id":3253,"uris":["http://zotero.org/users/14569500/items/6YYAYHG2"],"itemData":{"id":3253,"type":"article-journal","container-title":"Dusturiyah: Jurnal Hukum Islam, Perundang-undangan dan Pranata Sosial","DOI":"10.22373/dusturiyah.v8i2.4220","issue":"2","journalAbbreviation":"Dusturiyah: Jurnal Hukum Islam, Perundang-undangan dan Pranata Sosial","page":"129-147","title":"Konsep Harta dan Kepemilikannya Menurut Hukum Islam","volume":"8","author":[{"literal":"Irwansyah"}],"issued":{"date-parts":[["2018"]]}}}],"schema":"https://github.com/citation-style-language/schema/raw/master/csl-citation.json"}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(Irwansyah, 2018)</w:t>
      </w:r>
      <w:r w:rsidR="00C618AA">
        <w:rPr>
          <w:rFonts w:ascii="Book Antiqua" w:hAnsi="Book Antiqua" w:cs="Times New Roman"/>
          <w:sz w:val="24"/>
          <w:szCs w:val="24"/>
        </w:rPr>
        <w:fldChar w:fldCharType="end"/>
      </w:r>
      <w:r w:rsidRPr="00F34E5C">
        <w:rPr>
          <w:rFonts w:ascii="Book Antiqua" w:hAnsi="Book Antiqua" w:cs="Times New Roman"/>
          <w:sz w:val="24"/>
          <w:szCs w:val="24"/>
        </w:rPr>
        <w:t>. Selanjutnya, hak kepemilikan individu atas suatu harta selalu diikat dengan tanggung jawab sosial, karena individu dianggap sebagai pihak yang diberikan wewenang untuk membelanjakan harta tersebut. Perintah dan wewenang pengelolaan harta ini dijelaskan dalam firman Allah SWT:</w:t>
      </w:r>
    </w:p>
    <w:p w14:paraId="2BBF0C98" w14:textId="77777777" w:rsidR="00F34E5C" w:rsidRPr="00132124" w:rsidRDefault="00F34E5C" w:rsidP="00F34E5C">
      <w:pPr>
        <w:spacing w:line="276" w:lineRule="auto"/>
        <w:jc w:val="right"/>
        <w:rPr>
          <w:rFonts w:ascii="Traditional Arabic" w:hAnsi="Traditional Arabic" w:cs="Traditional Arabic"/>
          <w:sz w:val="32"/>
          <w:szCs w:val="32"/>
        </w:rPr>
      </w:pPr>
      <w:r w:rsidRPr="00132124">
        <w:rPr>
          <w:rFonts w:ascii="Traditional Arabic" w:hAnsi="Traditional Arabic" w:cs="Traditional Arabic"/>
          <w:sz w:val="32"/>
          <w:szCs w:val="32"/>
        </w:rPr>
        <w:t xml:space="preserve">آمِنُوا بِاللَّهِ وَرَسُوْلِهِ وَأَنْفِقُوا مِمَّا جَعَلَكُمْ مُّسْتَخْلَفِيْنَ فِيهِ فَالَّذِينَ آمَنُوْا مِنْكُمْ وَأَنْفَقُوا لَهُمْ أَجْرٌ كَبِيرٌ </w:t>
      </w:r>
    </w:p>
    <w:p w14:paraId="5B52FAF5" w14:textId="77777777" w:rsidR="00F34E5C" w:rsidRPr="00F34E5C" w:rsidRDefault="00F34E5C" w:rsidP="00F34E5C">
      <w:pPr>
        <w:spacing w:line="276" w:lineRule="auto"/>
        <w:ind w:left="720"/>
        <w:jc w:val="both"/>
        <w:rPr>
          <w:rFonts w:ascii="Book Antiqua" w:hAnsi="Book Antiqua" w:cs="Times New Roman"/>
          <w:sz w:val="24"/>
          <w:szCs w:val="24"/>
        </w:rPr>
      </w:pPr>
      <w:r w:rsidRPr="00F34E5C">
        <w:rPr>
          <w:rFonts w:ascii="Book Antiqua" w:hAnsi="Book Antiqua" w:cs="Times New Roman"/>
          <w:i/>
          <w:iCs/>
          <w:sz w:val="24"/>
          <w:szCs w:val="24"/>
        </w:rPr>
        <w:lastRenderedPageBreak/>
        <w:t>"Berimanlah kepada Allah dan Rasul-Nya serta infakkanlah (di jalan Allah) sebagian dari apa yang Dia (titipkan kepadamu dan) telah menjadikanmu berwenang dalam (penggunaan)-nya. Lalu, orang-orang yang beriman di antaramu dan menginfakkan (hartanya di jalan Allah) memperoleh pahala yang sangat besar."</w:t>
      </w:r>
      <w:r w:rsidRPr="00F34E5C">
        <w:rPr>
          <w:rFonts w:ascii="Book Antiqua" w:hAnsi="Book Antiqua" w:cs="Times New Roman"/>
          <w:sz w:val="24"/>
          <w:szCs w:val="24"/>
        </w:rPr>
        <w:t xml:space="preserve"> (Qs. Al Hadid : 7)</w:t>
      </w:r>
    </w:p>
    <w:p w14:paraId="19727DBF" w14:textId="77777777" w:rsidR="00F34E5C" w:rsidRPr="00F34E5C" w:rsidRDefault="00F34E5C" w:rsidP="00F34E5C">
      <w:pPr>
        <w:spacing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Ayat ini menegaskan bahwa pemilikan pribadi tidak dapat dilepaskan dari dimensi fungsi sosial kemasyarakatan. Apabila kepentingan masyarakat luas lebih menghendaki, maka setiap individu wajib mengesampingkan kepentingan pribadinya demi menjamin kemaslahatan bersama. Sebagai bentuk nyata dari keseimbangan antara kepemilikan individu dan fungsi sosial tersebut, Al-Qur'an mewajibkan pendistribusian sebagian harta individu secara adil kepada golongan yang membutuhkan melalui zakat. Ketentuan mengenai penyaluran kepemilikan harta ini secara rinci diabadikan dalam Surah At-Taubah ayat 60: </w:t>
      </w:r>
    </w:p>
    <w:p w14:paraId="584EBBB6" w14:textId="77777777" w:rsidR="00F34E5C" w:rsidRPr="00132124" w:rsidRDefault="00F34E5C" w:rsidP="00F34E5C">
      <w:pPr>
        <w:tabs>
          <w:tab w:val="left" w:pos="0"/>
        </w:tabs>
        <w:spacing w:line="276" w:lineRule="auto"/>
        <w:jc w:val="right"/>
        <w:rPr>
          <w:rFonts w:ascii="Traditional Arabic" w:hAnsi="Traditional Arabic" w:cs="Traditional Arabic"/>
          <w:sz w:val="32"/>
          <w:szCs w:val="32"/>
        </w:rPr>
      </w:pPr>
      <w:r w:rsidRPr="00132124">
        <w:rPr>
          <w:rFonts w:ascii="Traditional Arabic" w:hAnsi="Traditional Arabic" w:cs="Traditional Arabic"/>
          <w:sz w:val="32"/>
          <w:szCs w:val="32"/>
        </w:rPr>
        <w:t xml:space="preserve">إِنَّمَا الصَّدَقَتُ لِلْفُقَرَاءِ وَالْمَسْكِينِ وَالْعَمِلِينَ عَلَيْهَا وَالْمُؤَلَّفَةِ قُلُوْبُهُمْ وَفِي الرِّقَابِ وَالْغَرِمِينَ وَفِي سَبِيلِ اللَّهِ وَابْنِ السَّبِيْلِ فَرِيضَةً مِّنَ اللَّهِ وَاللَّهُ عَلِيمٌ حَكِيمٌ </w:t>
      </w:r>
    </w:p>
    <w:p w14:paraId="5F841F37" w14:textId="77777777" w:rsidR="00F34E5C" w:rsidRPr="00F34E5C" w:rsidRDefault="00F34E5C" w:rsidP="00F34E5C">
      <w:pPr>
        <w:spacing w:line="276" w:lineRule="auto"/>
        <w:ind w:left="720"/>
        <w:jc w:val="both"/>
        <w:rPr>
          <w:rFonts w:ascii="Book Antiqua" w:hAnsi="Book Antiqua" w:cs="Times New Roman"/>
          <w:i/>
          <w:iCs/>
          <w:sz w:val="24"/>
          <w:szCs w:val="24"/>
        </w:rPr>
      </w:pPr>
      <w:r w:rsidRPr="00F34E5C">
        <w:rPr>
          <w:rFonts w:ascii="Book Antiqua" w:hAnsi="Book Antiqua" w:cs="Times New Roman"/>
          <w:i/>
          <w:iCs/>
          <w:sz w:val="24"/>
          <w:szCs w:val="24"/>
        </w:rPr>
        <w:t>"Sesungguhnya zakat itu hanyalah untuk orang-orang fakir, orang-orang miskin, para amil zakat, orang-orang yang dilunakkan hatinya (mualaf), untuk (memerdekakan) para hamba sahaya, untuk (membebaskan) orang-orang yang berutang, untuk jalan Allah dan untuk orang-orang yang sedang dalam perjalanan (yang memerlukan pertolongan), sebagai kewajiban dari Allah. Allah Maha Mengetahui lagi Maha Bijaksana."</w:t>
      </w:r>
    </w:p>
    <w:p w14:paraId="6AAE629C" w14:textId="27D08B96"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Adapun dari tinjauan Hadis, implementasi pembatasan kebebasan kepemilikan individu terlihat jelas dari sikap tegas Nabi Muhammad SAW ketika penggunaan hak milik tersebut merugikan pihak lain. Di dalam sebuah riwayat dijelaskan bahwa Nabi Muhammad SAW menerima aduan dari seorang sahabat Anshar yang merasa sangat dirugikan oleh Samurah bin Jundub, karena dahan pohon kurma milik Samurah tumbuh menjorok hingga masuk ke area kebun milik sahabat Anshar tersebut. Menyikapi hal itu, Nabi Muhammad SAW memutuskan perintah untuk mencabut pohon kurma milik Samurah tersebut. (Sunan Abu Dawud No. 3636) Keputusan hadis ini menggarisbawahi dan mempertegas bahwa kebebasan hak kepemilikan individu sama sekali tidak boleh digunakan apabila hal itu menimbulkan kerugian bagi kepentingan orang lain</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{"citationID":"iQoOdyBV","properties":{"formattedCitation":"(Dewi &amp; Azzaki, 2024)","plainCitation":"(Dewi &amp; Azzaki, 2024)","noteIndex":0},"citationItems":[{"id":3269,"uris":["http://zotero.org/users/14569500/items/ITLIB2JH"],"itemData":{"id":3269,"type":"article-journal","container-title":"Hamalatul Qur'an: Jurnal Ilmu Ilmu Alqur'an","issue":"2","journalAbbreviation":"Hamalatul Qur'an: Jurnal Ilmu Ilmu Alqur'an","page":"823-831","title":"Prinsip Kepemilikan dalam Ekonomi Islam: Keseimbangan Antara Hak Individu dan Kesejahteraan Sosial","volume":"5","author":[{"family":"Dewi","given":"K."},{"family":"Azzaki","given":"M. A."}],"issued":{"date-parts":[["2024"]]}}}],"schema":"https://github.com/citation-style-language/schema/raw/master/csl-citation.json"}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(Dewi &amp; Azzaki, 2024)</w:t>
      </w:r>
      <w:r w:rsidR="00C618AA">
        <w:rPr>
          <w:rFonts w:ascii="Book Antiqua" w:hAnsi="Book Antiqua" w:cs="Times New Roman"/>
          <w:sz w:val="24"/>
          <w:szCs w:val="24"/>
        </w:rPr>
        <w:fldChar w:fldCharType="end"/>
      </w:r>
      <w:r w:rsidR="00C618AA">
        <w:rPr>
          <w:rFonts w:ascii="Book Antiqua" w:hAnsi="Book Antiqua" w:cs="Times New Roman"/>
          <w:sz w:val="24"/>
          <w:szCs w:val="24"/>
        </w:rPr>
        <w:t>.</w:t>
      </w:r>
    </w:p>
    <w:p w14:paraId="3F09EE83" w14:textId="22D03CDB"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Para ulama penyusun Kompilasi Hukum Islam (KHI) di Indonesia menggunakan pendekatan berlandaskan konsep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w:t>
      </w:r>
      <w:r w:rsidRPr="00F34E5C">
        <w:rPr>
          <w:rFonts w:ascii="Book Antiqua" w:hAnsi="Book Antiqua" w:cs="Times New Roman"/>
          <w:sz w:val="24"/>
          <w:szCs w:val="24"/>
        </w:rPr>
        <w:t xml:space="preserve">.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w:t>
      </w:r>
      <w:r w:rsidRPr="00F34E5C">
        <w:rPr>
          <w:rFonts w:ascii="Book Antiqua" w:hAnsi="Book Antiqua" w:cs="Times New Roman"/>
          <w:sz w:val="24"/>
          <w:szCs w:val="24"/>
        </w:rPr>
        <w:t xml:space="preserve"> adalah bentuk perkongsian antara dua pihak atau lebih yang masing-masing memberikan kontribusi berupa tenaga atau kerja (</w:t>
      </w:r>
      <w:r w:rsidRPr="00F34E5C">
        <w:rPr>
          <w:rFonts w:ascii="Book Antiqua" w:hAnsi="Book Antiqua" w:cs="Times New Roman"/>
          <w:i/>
          <w:iCs/>
          <w:sz w:val="24"/>
          <w:szCs w:val="24"/>
        </w:rPr>
        <w:t>amal</w:t>
      </w:r>
      <w:r w:rsidRPr="00F34E5C">
        <w:rPr>
          <w:rFonts w:ascii="Book Antiqua" w:hAnsi="Book Antiqua" w:cs="Times New Roman"/>
          <w:sz w:val="24"/>
          <w:szCs w:val="24"/>
        </w:rPr>
        <w:t>) tanpa adanya kontribusi modal material (</w:t>
      </w:r>
      <w:r w:rsidRPr="00F34E5C">
        <w:rPr>
          <w:rFonts w:ascii="Book Antiqua" w:hAnsi="Book Antiqua" w:cs="Times New Roman"/>
          <w:i/>
          <w:iCs/>
          <w:sz w:val="24"/>
          <w:szCs w:val="24"/>
        </w:rPr>
        <w:t>mal</w:t>
      </w:r>
      <w:r w:rsidRPr="00F34E5C">
        <w:rPr>
          <w:rFonts w:ascii="Book Antiqua" w:hAnsi="Book Antiqua" w:cs="Times New Roman"/>
          <w:sz w:val="24"/>
          <w:szCs w:val="24"/>
        </w:rPr>
        <w:t>)</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{"citationID":"M91mGNvg","properties":{"formattedCitation":"(Raminah, 2025)","plainCitation":"(Raminah, 2025)","noteIndex":0},"citationItems":[{"id":3254,"uris":["http://zotero.org/users/14569500/items/CV8AKGYB"],"itemData":{"id":3254,"type":"article-journal","container-title":"Maliki Interdisciplinary Journal (MIJ)","journalAbbreviation":"Maliki Interdisciplinary Journal (MIJ)","page":"37-45","title":"Konseptual Syirkah dalam Islam","volume":"3","author":[{"literal":"Raminah"}],"issued":{"date-parts":[["2025"]]}}}],"schema":"https://github.com/citation-style-language/schema/raw/master/csl-citation.json"}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(Raminah, 2025)</w:t>
      </w:r>
      <w:r w:rsidR="00C618AA">
        <w:rPr>
          <w:rFonts w:ascii="Book Antiqua" w:hAnsi="Book Antiqua" w:cs="Times New Roman"/>
          <w:sz w:val="24"/>
          <w:szCs w:val="24"/>
        </w:rPr>
        <w:fldChar w:fldCharType="end"/>
      </w:r>
      <w:r w:rsidRPr="00F34E5C">
        <w:rPr>
          <w:rFonts w:ascii="Book Antiqua" w:hAnsi="Book Antiqua" w:cs="Times New Roman"/>
          <w:sz w:val="24"/>
          <w:szCs w:val="24"/>
        </w:rPr>
        <w:t xml:space="preserve">. Meskipun demikian, terdapat perbedaan penerapan dalam KHI, jika dalam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w:t>
      </w:r>
      <w:r w:rsidRPr="00F34E5C">
        <w:rPr>
          <w:rFonts w:ascii="Book Antiqua" w:hAnsi="Book Antiqua" w:cs="Times New Roman"/>
          <w:sz w:val="24"/>
          <w:szCs w:val="24"/>
        </w:rPr>
        <w:t xml:space="preserve"> klasik kedua belah pihak diwajibkan bekerja untuk </w:t>
      </w:r>
      <w:r w:rsidRPr="00F34E5C">
        <w:rPr>
          <w:rFonts w:ascii="Book Antiqua" w:hAnsi="Book Antiqua" w:cs="Times New Roman"/>
          <w:sz w:val="24"/>
          <w:szCs w:val="24"/>
        </w:rPr>
        <w:lastRenderedPageBreak/>
        <w:t xml:space="preserve">mendapatkan hasil, KHI menetapkan bahwa peran istri yang murni mengurus rumah tangga tetap dianggap sebagai kontribusi nyata dalam mewujudkan keharmonisan, sehingga ia berhak atas harta yang dihasilkan oleh suami. </w:t>
      </w:r>
    </w:p>
    <w:p w14:paraId="7B0FEA62" w14:textId="4FF16CC8"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Dari sisi penyelesaian sengketa, konsep fikih klasik yang memisahkan harta kekayaan suami dan istri memiliki kelebihan utama yaitu pengaturannya yang sangat sederhana, tidak rumit, dan mudah dipraktikkan. Meski pemisahan harta mencegah kerumitan sengketa, keterbatasan dari konsep fikih klasik ini adalah tidak adanya pengakuan otomatis terhadap harta yang dicari bersama-sama, yang sering kali berkembang dalam adat istiadat dan perkembangan pemberdayaan wanita di Indonesia. Sebagai solusi atas keterbatasan ini, hukum Islam tetap mengedepankan saling pengertian dan memperbolehkan pasangan membuat perjanjian perkawinan sebelum akad nikah, baik untuk menggabungkan maupun memisahkan harta, guna menghindari konflik yang berujung pada perceraian</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{"citationID":"8PvfERxx","properties":{"formattedCitation":"(Paisal dkk., 2025)","plainCitation":"(Paisal dkk., 2025)","noteIndex":0},"citationItems":[{"id":3271,"uris":["http://zotero.org/users/14569500/items/KRT7PEUZ"],"itemData":{"id":3271,"type":"article-journal","container-title":"Journal of Legal Sustainability","DOI":"10.63477/jols.v2i4.422","issue":"4","journalAbbreviation":"Journal of Legal Sustainability","page":"1-12","title":"Relevansi Konsep Harta Bersama Dalam Kompilasi Hukum Islam Dengan Hukum Islam","volume":"2","author":[{"literal":"Paisal"},{"family":"Winario","given":"Mohd"},{"family":"Hidayat","given":"Hidayat"},{"literal":"Nongliasma"}],"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(Paisal dkk., 2025)</w:t>
      </w:r>
      <w:r w:rsidR="00C618AA">
        <w:rPr>
          <w:rFonts w:ascii="Book Antiqua" w:hAnsi="Book Antiqua" w:cs="Times New Roman"/>
          <w:sz w:val="24"/>
          <w:szCs w:val="24"/>
        </w:rPr>
        <w:fldChar w:fldCharType="end"/>
      </w:r>
      <w:r w:rsidRPr="00F34E5C">
        <w:rPr>
          <w:rFonts w:ascii="Book Antiqua" w:hAnsi="Book Antiqua" w:cs="Times New Roman"/>
          <w:sz w:val="24"/>
          <w:szCs w:val="24"/>
        </w:rPr>
        <w:t>. Prinsip keseimbangan hak dan kewajiban pasangan ini didasari oleh firman Allah SWT dalam Surah Al-Baqarah ayat 228:</w:t>
      </w:r>
    </w:p>
    <w:p w14:paraId="2C9FA6CA" w14:textId="77777777" w:rsidR="00F34E5C" w:rsidRPr="00132124" w:rsidRDefault="00F34E5C" w:rsidP="00132124">
      <w:pPr>
        <w:spacing w:after="0" w:line="276" w:lineRule="auto"/>
        <w:ind w:firstLine="720"/>
        <w:jc w:val="right"/>
        <w:rPr>
          <w:rFonts w:ascii="Traditional Arabic" w:hAnsi="Traditional Arabic" w:cs="Traditional Arabic"/>
          <w:sz w:val="32"/>
          <w:szCs w:val="32"/>
        </w:rPr>
      </w:pPr>
      <w:r w:rsidRPr="00132124">
        <w:rPr>
          <w:rFonts w:ascii="Traditional Arabic" w:hAnsi="Traditional Arabic" w:cs="Traditional Arabic"/>
          <w:sz w:val="32"/>
          <w:szCs w:val="32"/>
        </w:rPr>
        <w:t xml:space="preserve"> وَلَهُنَّ مِثْلُ الَّذِي عَلَيْهِنَّ بِالْمَعْرُوفِ وَلِلرِّجَالِ عَلَيْهِنَّ دَرَجَة وَاللَّهُ عَزِيزٌ حَكِيمٌ </w:t>
      </w:r>
    </w:p>
    <w:p w14:paraId="03CE7086" w14:textId="4D2F80EB" w:rsidR="00F34E5C" w:rsidRPr="00F34E5C" w:rsidRDefault="00F34E5C" w:rsidP="00132124">
      <w:pPr>
        <w:spacing w:after="0" w:line="276" w:lineRule="auto"/>
        <w:ind w:left="720"/>
        <w:jc w:val="both"/>
        <w:rPr>
          <w:rFonts w:ascii="Book Antiqua" w:hAnsi="Book Antiqua" w:cs="Times New Roman"/>
          <w:i/>
          <w:iCs/>
          <w:sz w:val="24"/>
          <w:szCs w:val="24"/>
        </w:rPr>
      </w:pPr>
      <w:r w:rsidRPr="00F34E5C">
        <w:rPr>
          <w:rFonts w:ascii="Book Antiqua" w:hAnsi="Book Antiqua" w:cs="Times New Roman"/>
          <w:i/>
          <w:iCs/>
          <w:sz w:val="24"/>
          <w:szCs w:val="24"/>
        </w:rPr>
        <w:t>"Dan para wanita mempunyai hak yang seimbang dengan kewajibannya menurut cara yang ma'ruf. Akan tetapi para suami, mempunyai satu tingkatan kelebihan daripada isterinya. Dan Allah Maha Perkasa lagi Maha Bijaksana."</w:t>
      </w:r>
    </w:p>
    <w:p w14:paraId="21BF6FB1" w14:textId="77777777" w:rsidR="00F34E5C" w:rsidRPr="00F34E5C" w:rsidRDefault="00F34E5C" w:rsidP="00132124">
      <w:pPr>
        <w:spacing w:after="0" w:line="276" w:lineRule="auto"/>
        <w:jc w:val="both"/>
        <w:rPr>
          <w:rFonts w:ascii="Book Antiqua" w:hAnsi="Book Antiqua" w:cs="Times New Roman"/>
          <w:sz w:val="24"/>
          <w:szCs w:val="24"/>
        </w:rPr>
      </w:pPr>
      <w:r w:rsidRPr="00F34E5C">
        <w:rPr>
          <w:rFonts w:ascii="Book Antiqua" w:hAnsi="Book Antiqua" w:cs="Times New Roman"/>
          <w:sz w:val="24"/>
          <w:szCs w:val="24"/>
        </w:rPr>
        <w:tab/>
      </w:r>
    </w:p>
    <w:p w14:paraId="482C96D1" w14:textId="77777777" w:rsidR="00F34E5C" w:rsidRPr="00F34E5C" w:rsidRDefault="00F34E5C" w:rsidP="00132124">
      <w:pPr>
        <w:spacing w:after="0" w:line="276" w:lineRule="auto"/>
        <w:jc w:val="both"/>
        <w:rPr>
          <w:rFonts w:ascii="Book Antiqua" w:hAnsi="Book Antiqua" w:cs="Times New Roman"/>
          <w:b/>
          <w:bCs/>
          <w:sz w:val="24"/>
          <w:szCs w:val="24"/>
        </w:rPr>
      </w:pPr>
      <w:r w:rsidRPr="00F34E5C">
        <w:rPr>
          <w:rFonts w:ascii="Book Antiqua" w:hAnsi="Book Antiqua" w:cs="Times New Roman"/>
          <w:b/>
          <w:bCs/>
          <w:sz w:val="24"/>
          <w:szCs w:val="24"/>
        </w:rPr>
        <w:t>Harta Bersama dalam Kompilasi Hukum Islam (KHI)</w:t>
      </w:r>
    </w:p>
    <w:p w14:paraId="71A2AEA2" w14:textId="77777777" w:rsidR="00F34E5C" w:rsidRPr="00F34E5C" w:rsidRDefault="00F34E5C" w:rsidP="00132124">
      <w:pPr>
        <w:spacing w:after="0" w:line="276" w:lineRule="auto"/>
        <w:ind w:firstLine="720"/>
        <w:jc w:val="both"/>
        <w:rPr>
          <w:rFonts w:ascii="Book Antiqua" w:hAnsi="Book Antiqua"/>
          <w:sz w:val="24"/>
          <w:szCs w:val="24"/>
        </w:rPr>
      </w:pPr>
      <w:r w:rsidRPr="00F34E5C">
        <w:rPr>
          <w:rFonts w:ascii="Book Antiqua" w:hAnsi="Book Antiqua" w:cs="Times New Roman"/>
          <w:sz w:val="24"/>
          <w:szCs w:val="24"/>
        </w:rPr>
        <w:t xml:space="preserve">Dasar pembentukan harta bersama selama masa perkawinan di Indonesia berakar pada prinsip bahwa harta yang diperoleh suami maupun istri selama ikatan perkawinan merupakan satu kesatuan aset yang ditujukan untuk kepentingan kesejahteraan keluarga. Menurut ketentuan Pasal 35 ayat (1) UU No. 1 Tahun 1974 tentang Perkawinan jo. Pasal 1 huruf f KHI, harta bersama didefinisikan sebagai harta yang diperoleh selama ikatan perkawinan berlangsung tanpa memandang siapa di antara suami atau istri yang mencarinya maupun atas nama siapa harta tersebut terdaftar. Prinsip ini memberikan landasan operasional bahwa meskipun suami atau istri memiliki peran ekonomi yang berbeda, hasil dari pengelolaan bersama tersebut secara hukum dilebur menjadi harta milik berdua. </w:t>
      </w:r>
    </w:p>
    <w:p w14:paraId="09126D79" w14:textId="729AC49D"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Di sisi lain, hukum tetap mengakui adanya harta pribadi yang tidak tercampur ke dalam harta bersama, yaitu harta bawaan yang dimiliki sebelum perkawinan serta harta yang diperoleh sebagai hadiah atau warisan. Namun, dinamika rumah tangga sering kali menyebabkan batas antara harta bawaan dan harta bersama menjadi kabur, terutama ketika harta bawaan dikelola secara bersama-sama oleh suami dan istri untuk menghasilkan nilai tambah. Meskipun regulasi telah membedakan antara harta bawaan dan harta bersama, ketiadaan norma yang jelas mengenai mekanisme "pencampuran akibat pengelolaan bersama" sering kali menjadi celah hukum yang memicu sengketa, inkonsistensi </w:t>
      </w:r>
      <w:r w:rsidRPr="00F34E5C">
        <w:rPr>
          <w:rFonts w:ascii="Book Antiqua" w:hAnsi="Book Antiqua" w:cs="Times New Roman"/>
          <w:sz w:val="24"/>
          <w:szCs w:val="24"/>
        </w:rPr>
        <w:lastRenderedPageBreak/>
        <w:t>putusan hakim, serta ketidakpastian status aset pasca-perceraian</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{"citationID":"O7b14DDU","properties":{"formattedCitation":"(Siahaan dkk., 2025)","plainCitation":"(Siahaan dkk., 2025)","noteIndex":0},"citationItems":[{"id":3272,"uris":["http://zotero.org/users/14569500/items/DDNCVLQ2"],"itemData":{"id":3272,"type":"article-journal","container-title":"Jurnal Riset Rumpun Ilmu Sosial, Politik dan Humaniora","DOI":"10.55606/jurrish.v4i1.5341","issue":"1","journalAbbreviation":"Jurnal Riset Rumpun Ilmu Sosial, Politik dan Humaniora","page":"686-696","title":"Perlindungan Hukum terhadap Harta Bawaan yang Bercampur dengan Harta Bersama Akibat Pengelolaan Bersama: Studi Kasus dan Analisis Yuridis","volume":"4","author":[{"family":"Siahaan","given":"Parlaungan Gabriel"},{"family":"Simorangkir","given":"Ramona Febiola"},{"family":"Aritonang","given":"Adelia Br"},{"family":"Saragih","given":"Grace Claudia Valerina"},{"family":"Lubis","given":"Joya Urmila"},{"family":"Purba","given":"Peter Patiangbanua"},{"family":"Tampubolon","given":"Trima Uasito"}],"issued":{"date-parts":[["2025"]]}}}],"schema":"https://github.com/citation-style-language/schema/raw/master/csl-citation.json"}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(Siahaan dkk., 2025)</w:t>
      </w:r>
      <w:r w:rsidR="00C618AA">
        <w:rPr>
          <w:rFonts w:ascii="Book Antiqua" w:hAnsi="Book Antiqua" w:cs="Times New Roman"/>
          <w:sz w:val="24"/>
          <w:szCs w:val="24"/>
        </w:rPr>
        <w:fldChar w:fldCharType="end"/>
      </w:r>
      <w:r w:rsidRPr="00F34E5C">
        <w:rPr>
          <w:rFonts w:ascii="Book Antiqua" w:hAnsi="Book Antiqua" w:cs="Times New Roman"/>
          <w:sz w:val="24"/>
          <w:szCs w:val="24"/>
        </w:rPr>
        <w:t xml:space="preserve">. </w:t>
      </w:r>
    </w:p>
    <w:p w14:paraId="22FE6EBC"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Kedudukan harta bersama dalam KHI diatur secara rinci melalui Pasal 85 hingga Pasal 96 yang memberikan kerangka hukum bagi pengelolaan dan pembagian aset selama perkawinan. Pasal 85 menegaskan bahwa keberadaan harta bersama tidak meniadakan hak milik pribadi suami atau istri, yang diperkuat oleh Pasal 86 dengan menyatakan bahwa pada dasarnya tidak ada percampuran harta karena perkawinan sehingga harta bawaan, warisan, atau hibah tetap menjadi hak milik masing-masing. Tanggung jawab menjaga harta bersama, harta istri, maupun harta suami dibebankan secara kolektif kepada suami dan istri sesuai Pasal 89 dan 90, serta harta tersebut tidak boleh dijual atau dipindahtangankan tanpa persetujuan pihak lainnya. </w:t>
      </w:r>
    </w:p>
    <w:p w14:paraId="15EAE97B" w14:textId="4514319C"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Lebih lanjut, Pasal 91 dan 92 merinci bahwa harta bersama dapat berupa benda berwujud maupun tidak berwujud yang dapat dijadikan jaminan, namun pengelolaannya tetap harus melalui persetujuan bersama. Terkait hutang, Pasal 93 mengatur bahwa hutang untuk kepentingan keluarga dibebankan pada harta bersama, dan jika tidak mencukupi, maka akan dibebankan pada harta pribadi suami atau istri secara berjenjang. Dalam kondisi khusus seperti poligami, Pasal 94 menetapkan bahwa harta bersama dari masing-masing istri harus dipisahkan dan berdiri sendiri sesuai waktu berlangsungnya akad perkawinan masing-masing. Sebagai upaya perlindungan, Pasal 95 memberikan kewenangan bagi suami atau istri untuk memohon sita jaminan ke Pengadilan Agama apabila terdapat perbuatan merugikan seperti judi atau pemborosan. Terakhir, Pasal 96 mengatur bahwa jika terjadi cerai mati, separuh harta bersama menjadi hak bagi pasangan yang hidup lebih lama, sementara pembagian jika salah satu pasangan hilang harus ditangguhkan hingga adanya kepastian hukum</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{"citationID":"2XpjXOxt","properties":{"formattedCitation":"(Murtado, 2024)","plainCitation":"(Murtado, 2024)","noteIndex":0},"citationItems":[{"id":3273,"uris":["http://zotero.org/users/14569500/items/V3IPCLGC"],"itemData":{"id":3273,"type":"article-journal","container-title":"Legal Advice Journal of Law","issue":"2","journalAbbreviation":"Legal Advice Journal of Law","page":"69-84","title":"Analisis Putusan Hakim Mengenai Sengketa Waris Di Pengadilan Agama Kendari (Studi Kasus Perkara No.0555 Pdt.G 2014 PA.Kdi)","volume":"1","author":[{"family":"Murtado","given":"Muhamad Nengah"}],"issued":{"date-parts":[["2024"]]}}}],"schema":"https://github.com/citation-style-language/schema/raw/master/csl-citation.json"}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(Murtado, 2024)</w:t>
      </w:r>
      <w:r w:rsidR="00C618AA">
        <w:rPr>
          <w:rFonts w:ascii="Book Antiqua" w:hAnsi="Book Antiqua" w:cs="Times New Roman"/>
          <w:sz w:val="24"/>
          <w:szCs w:val="24"/>
        </w:rPr>
        <w:fldChar w:fldCharType="end"/>
      </w:r>
      <w:r w:rsidRPr="00F34E5C">
        <w:rPr>
          <w:rFonts w:ascii="Book Antiqua" w:hAnsi="Book Antiqua" w:cs="Times New Roman"/>
          <w:sz w:val="24"/>
          <w:szCs w:val="24"/>
        </w:rPr>
        <w:t>.</w:t>
      </w:r>
    </w:p>
    <w:p w14:paraId="700BDC96" w14:textId="153154A3"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Dalam kehidupan rumah tangga, suami dan istri memiliki hak dan kewajiban yang saling terkait dan setara, di mana pemenuhannya menjadi tolok ukur keharmonisan keluarga. Kewajiban suami terhadap istri meliputi pemberian mahar serta nafkah, baik berupa makanan, pakaian, maupun tempat tinggal, yang merupakan konsekuensi alami dari peran suami sebagai pemimpin keluarga. Sebaliknya, istri berkewajiban untuk menghormati dan menaati suaminya, menjaga kehormatan keluarga, memelihara harta suami, serta memenuhi kebutuhan lahir dan batin pasangan, sepanjang tidak bertentangan dengan ajaran Islam. Terkait dengan harta bersama, Islam di Indonesia mengakomodasi konsep yang menyerupai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 mufawwadah</w:t>
      </w:r>
      <w:r w:rsidRPr="00F34E5C">
        <w:rPr>
          <w:rFonts w:ascii="Book Antiqua" w:hAnsi="Book Antiqua" w:cs="Times New Roman"/>
          <w:sz w:val="24"/>
          <w:szCs w:val="24"/>
        </w:rPr>
        <w:t xml:space="preserve">, yaitu suatu bentuk perkongsian tenaga dan usaha yang tidak terbatas selama masa perkawinan. Dalam praktiknya, segala aset yang diperoleh selama ikatan pernikahan, baik berupa benda bergerak, benda tidak bergerak, maupun hak dan kewajiban yang bernilai ekonomi, dikategorikan sebagai harta bersama. Namun, KHI memberikan pengecualian terhadap harta </w:t>
      </w:r>
      <w:r w:rsidRPr="00F34E5C">
        <w:rPr>
          <w:rFonts w:ascii="Book Antiqua" w:hAnsi="Book Antiqua" w:cs="Times New Roman"/>
          <w:sz w:val="24"/>
          <w:szCs w:val="24"/>
        </w:rPr>
        <w:lastRenderedPageBreak/>
        <w:t xml:space="preserve">yang diperoleh sebagai warisan atau pemberian khusus kepada salah satu pihak, sehingga harta tersebut tetap menjadi hak milik pribadi. </w:t>
      </w:r>
    </w:p>
    <w:p w14:paraId="121A5C95" w14:textId="0972D67B"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Apabila terjadi perceraian, hukum membawa implikasi hukum yang signifikan bagi anak, harta bersama, dan kewajiban nafkah pasca-perceraian. Tanggung jawab orang tua terhadap anak tetap melekat meskipun perkawinan telah putus, di mana biaya pemeliharaan dan pendidikan anak menjadi kewajiban bersama, dengan penekanan bahwa jika suami tidak mampu, pengadilan dapat membebankan biaya tersebut kepada ibu. Mengenai harta bersama, jika tidak ada kesepakatan pembagian, maka pengadilan memiliki kewenangan untuk menetapkan pembagian berdasarkan prinsip keadilan yang wajar atau hukum yang berlaku. Selain itu, suami memiliki kewajiban untuk memberikan </w:t>
      </w:r>
      <w:r w:rsidRPr="00F34E5C">
        <w:rPr>
          <w:rFonts w:ascii="Book Antiqua" w:hAnsi="Book Antiqua" w:cs="Times New Roman"/>
          <w:i/>
          <w:iCs/>
          <w:sz w:val="24"/>
          <w:szCs w:val="24"/>
        </w:rPr>
        <w:t>mut'ah</w:t>
      </w:r>
      <w:r w:rsidRPr="00F34E5C">
        <w:rPr>
          <w:rFonts w:ascii="Book Antiqua" w:hAnsi="Book Antiqua" w:cs="Times New Roman"/>
          <w:sz w:val="24"/>
          <w:szCs w:val="24"/>
        </w:rPr>
        <w:t xml:space="preserve"> (pemberian finansial pasca-perceraian) kepada mantan istrinya, dengan besaran yang disesuaikan berdasarkan kemampuan finansial suami</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C618AA">
        <w:rPr>
          <w:rFonts w:ascii="Book Antiqua" w:hAnsi="Book Antiqua" w:cs="Times New Roman"/>
          <w:sz w:val="24"/>
          <w:szCs w:val="24"/>
        </w:rPr>
        <w:instrText xml:space="preserve"> ADDIN ZOTERO_ITEM CSL_CITATION {"citationID":"ywaWJuPZ","properties":{"formattedCitation":"(Azizah &amp; Hafidzi, 2025)","plainCitation":"(Azizah &amp; Hafidzi, 2025)","noteIndex":0},"citationItems":[{"id":3274,"uris":["http://zotero.org/users/14569500/items/RWV2P4TE"],"itemData":{"id":3274,"type":"article-journal","container-title":"Indonesian Journal of Islamic Jurisprudence, Economic and Legal Theory","DOI":"10.62976/ijijel.v3i2.1164","issue":"2","journalAbbreviation":"Indonesian Journal of Islamic Jurisprudence, Economic and Legal Theory","page":"1735-1741","title":"Hak Dan Kewajiban Suami-Istri, Harta Bersama, Serta Akibat Hukum Perceraian","volume":"3","author":[{"family":"Azizah","given":"Laila"},{"family":"Hafidzi","given":"Anwar"}],"issued":{"date-parts":[["2025"]]}}}],"schema":"https://github.com/citation-style-language/schema/raw/master/csl-citation.json"} </w:instrText>
      </w:r>
      <w:r w:rsidR="00C618AA">
        <w:rPr>
          <w:rFonts w:ascii="Book Antiqua" w:hAnsi="Book Antiqua" w:cs="Times New Roman"/>
          <w:sz w:val="24"/>
          <w:szCs w:val="24"/>
        </w:rPr>
        <w:fldChar w:fldCharType="separate"/>
      </w:r>
      <w:r w:rsidR="00C618AA" w:rsidRPr="00C618AA">
        <w:rPr>
          <w:rFonts w:ascii="Book Antiqua" w:hAnsi="Book Antiqua"/>
          <w:sz w:val="24"/>
        </w:rPr>
        <w:t>(Azizah &amp; Hafidzi, 2025)</w:t>
      </w:r>
      <w:r w:rsidR="00C618AA">
        <w:rPr>
          <w:rFonts w:ascii="Book Antiqua" w:hAnsi="Book Antiqua" w:cs="Times New Roman"/>
          <w:sz w:val="24"/>
          <w:szCs w:val="24"/>
        </w:rPr>
        <w:fldChar w:fldCharType="end"/>
      </w:r>
      <w:r w:rsidR="00C618AA">
        <w:rPr>
          <w:rFonts w:ascii="Book Antiqua" w:hAnsi="Book Antiqua" w:cs="Times New Roman"/>
          <w:sz w:val="24"/>
          <w:szCs w:val="24"/>
        </w:rPr>
        <w:t>.</w:t>
      </w:r>
    </w:p>
    <w:p w14:paraId="185E7DCC" w14:textId="7BE64798" w:rsid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Mekanisme pembagian harta bersama akibat perceraian menurut Pasal 97 Kompilasi Hukum Islam (KHI) menetapkan bahwa janda atau duda cerai hidup masing-masing berhak atas seperdua (seperdua) dari harta bersama, sepanjang tidak ditentukan lain dalam perjanjian perkawinan. Ketentuan ini menjadi acuan utama di Pengadilan Agama dalam menyelesaikan sengketa harta bersama ketika ikatan pernikahan putus karena perceraian, dengan tujuan untuk menciptakan keadilan bagi kedua belah pihak setelah dikurangi dengan kewajiban-kewajiban hutang yang dibebankan kepada harta bersama. Implementasi ketentuan KHI dalam praktik peradilan agama menunjukkan bahwa meskipun Pasal 97 KHI memberikan pedoman pembagian secara merata, hakim memiliki diskresi untuk menetapkan pembagian yang proporsional sesuai dengan fakta hukum yang terungkap di persidangan. Jika terjadi perselisihan, pihak yang berkepentingan dapat mengajukan permohonan ke Pengadilan Agama untuk dilakukan pembagian harta, yang kemudian akan diperiksa melalui tahapan mediasi terlebih dahulu sebelum masuk ke pokok perkara. Dalam memutus perkara, hakim tidak sekadar menerapkan angka matematis 1/2, melainkan mempertimbangkan asal-usul perolehan harta, kontribusi nyata dari masing-masing pihak, serta bukti-bukti kepemilikan yang diajukan selama persidangan. Selain itu, hakim senantiasa merujuk pada ada atau tidaknya perjanjian perkawinan, karena isi perjanjian tersebut menjadi prioritas utama yang mengesampingkan pembagian merata jika disepakati adanya pemisahan harta. Sebagai langkah preventif untuk melindungi integritas harta bersama, pengadilan juga dapat mengeluarkan penetapan sita jaminan atas permohonan salah satu pihak apabila terdapat indikasi adanya perbuatan merugikan seperti pemborosan atau penggelapan harta</w:t>
      </w:r>
      <w:r w:rsidR="00C618AA">
        <w:rPr>
          <w:rFonts w:ascii="Book Antiqua" w:hAnsi="Book Antiqua" w:cs="Times New Roman"/>
          <w:sz w:val="24"/>
          <w:szCs w:val="24"/>
        </w:rPr>
        <w:t xml:space="preserve"> </w:t>
      </w:r>
      <w:r w:rsidR="00C618A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{"citationID":"KCyXkgnm","properties":{"formattedCitation":"(Muchammad Ariyahdul Ma\\uc0\\u8217{}rifat, 2024)","plainCitation":"(Muchammad Ariyahdul Ma’rifat, 2024)","noteIndex":0},"citationItems":[{"id":3247,"uris":["http://zotero.org/users/14569500/items/ZYR84NHI"],"itemData":{"id":3247,"type":"article-journal","abstract":"Penelitian ini dilakukan dengan tujuan yaitu untuk mengenal aturan pemanfaatan harta perolehan dalam perkawinan. Harta bersama dalam konsep yuridis dapat diartikan sebagai harta kekayaan suami dan isteri yang didapatkan selama perkawinan atau dengan kata lain harta bersama atau yang biasa disebut harta gono gini ini merupakan harta yang dihasilkan oleh sepasang suami isteri melalui kerja sama antara keduanya semasa berlangsungnya perkawinan. Suami dan Isteri memiliki hak guna dan hak milik atas harta bersama, dengan begitu keduanya memiliki hak yang sama dalam pemanfaatan harta bersama tersebut dengan syarat atas persetujuan dari pasangannya. Hal tersebut erat kaitaannya bahwa suami atau isteri tanpa persetujuan pihak lain tidak diperbolehkan menjual atau memindahkan harta bersama dengan ketentuan pada Pasal 36 Undang-Undang Perkawwinan Tahun 1974, KUHPerdata pada Pasal 124 dan Kompilasi Hukum Islam, pada Pasal 91 hingga 93. Dalam kehidupan masyarakat pada umumnya, perizinan pemanfaatan harta bersama masih sangat minim disadari terutama untuk harta bersama yang nilai materiil nya tidak signifikan berpengaruh pada perekonomian keluarga.Penelitian yang ini menggunakan metode yang bersifat kualitatif yakni menjabarkan atau mengumpulkan bahan bersumber pada pustaka terkait teori mengenai ketentuan pemanfaatan harta bersama dalam perkawinan.","container-title":"Justicia Journal","issue":"Vol. 13 No. 2 (2024): September 2024","journalAbbreviation":"Justicia Journal","page":"232-255","publisher":"Fakultas Hukum Universitas Darul Ulum","title":"Penggunaan Harta Bersama (Gono-Gini) Harus Melalui Persetujuan Suami Dan Istri","author":[{"literal":"Muchammad Ariyahdul Ma’rifat"}],"issued":{"date-parts":[["2024"]]}}}],"schema":"https://github.com/citation-style-language/schema/raw/master/csl-citation.json"} </w:instrText>
      </w:r>
      <w:r w:rsidR="00C618AA">
        <w:rPr>
          <w:rFonts w:ascii="Book Antiqua" w:hAnsi="Book Antiqua" w:cs="Times New Roman"/>
          <w:sz w:val="24"/>
          <w:szCs w:val="24"/>
        </w:rPr>
        <w:fldChar w:fldCharType="separate"/>
      </w:r>
      <w:r w:rsidR="00003B3A" w:rsidRPr="00003B3A">
        <w:rPr>
          <w:rFonts w:ascii="Book Antiqua" w:hAnsi="Book Antiqua" w:cs="Times New Roman"/>
          <w:sz w:val="24"/>
        </w:rPr>
        <w:t>(Muchammad Ariyahdul Ma’rifat, 2024)</w:t>
      </w:r>
      <w:r w:rsidR="00C618AA">
        <w:rPr>
          <w:rFonts w:ascii="Book Antiqua" w:hAnsi="Book Antiqua" w:cs="Times New Roman"/>
          <w:sz w:val="24"/>
          <w:szCs w:val="24"/>
        </w:rPr>
        <w:fldChar w:fldCharType="end"/>
      </w:r>
      <w:r w:rsidR="00C618AA">
        <w:rPr>
          <w:rFonts w:ascii="Book Antiqua" w:hAnsi="Book Antiqua" w:cs="Times New Roman"/>
          <w:sz w:val="24"/>
          <w:szCs w:val="24"/>
        </w:rPr>
        <w:t>.</w:t>
      </w:r>
    </w:p>
    <w:p w14:paraId="70D8E116" w14:textId="77777777" w:rsidR="00132124" w:rsidRPr="00F34E5C" w:rsidRDefault="00132124" w:rsidP="00132124">
      <w:pPr>
        <w:spacing w:after="0" w:line="276" w:lineRule="auto"/>
        <w:ind w:firstLine="720"/>
        <w:jc w:val="both"/>
        <w:rPr>
          <w:rFonts w:ascii="Book Antiqua" w:hAnsi="Book Antiqua" w:cs="Times New Roman"/>
          <w:sz w:val="24"/>
          <w:szCs w:val="24"/>
        </w:rPr>
      </w:pPr>
    </w:p>
    <w:p w14:paraId="7C0CC164" w14:textId="77777777" w:rsidR="00F34E5C" w:rsidRPr="00F34E5C" w:rsidRDefault="00F34E5C" w:rsidP="00132124">
      <w:pPr>
        <w:spacing w:after="0" w:line="276" w:lineRule="auto"/>
        <w:jc w:val="both"/>
        <w:rPr>
          <w:rFonts w:ascii="Book Antiqua" w:hAnsi="Book Antiqua" w:cs="Times New Roman"/>
          <w:b/>
          <w:bCs/>
          <w:sz w:val="24"/>
          <w:szCs w:val="24"/>
        </w:rPr>
      </w:pPr>
      <w:r w:rsidRPr="00F34E5C">
        <w:rPr>
          <w:rFonts w:ascii="Book Antiqua" w:hAnsi="Book Antiqua" w:cs="Times New Roman"/>
          <w:b/>
          <w:bCs/>
          <w:sz w:val="24"/>
          <w:szCs w:val="24"/>
        </w:rPr>
        <w:lastRenderedPageBreak/>
        <w:t>Harta Bersama sebagai Bentuk Reformulasi Hukum Islam di Indonesia</w:t>
      </w:r>
    </w:p>
    <w:p w14:paraId="106401B5" w14:textId="188BB2F1" w:rsidR="00F34E5C" w:rsidRPr="00F34E5C" w:rsidRDefault="00F34E5C" w:rsidP="00132124">
      <w:pPr>
        <w:spacing w:after="0" w:line="276" w:lineRule="auto"/>
        <w:jc w:val="both"/>
        <w:rPr>
          <w:rFonts w:ascii="Book Antiqua" w:hAnsi="Book Antiqua"/>
          <w:sz w:val="24"/>
          <w:szCs w:val="24"/>
        </w:rPr>
      </w:pPr>
      <w:r w:rsidRPr="00F34E5C">
        <w:rPr>
          <w:rFonts w:ascii="Book Antiqua" w:hAnsi="Book Antiqua" w:cs="Times New Roman"/>
          <w:b/>
          <w:bCs/>
          <w:sz w:val="24"/>
          <w:szCs w:val="24"/>
        </w:rPr>
        <w:tab/>
      </w:r>
      <w:r w:rsidRPr="00F34E5C">
        <w:rPr>
          <w:rFonts w:ascii="Book Antiqua" w:hAnsi="Book Antiqua" w:cs="Times New Roman"/>
          <w:sz w:val="24"/>
          <w:szCs w:val="24"/>
        </w:rPr>
        <w:t>Upaya Kompilasi Hukum Islam (KHI) dalam mengakomodasi perubahan sosial serta peran ekonomi istri terus berkembang seiring dengan meningkatnya partisipasi perempuan dalam sektor publik dan ekonomi. Meskipun KHI melalui Pasal 97 telah menetapkan pembagian harta bersama secara merata, realitas sosial modern menunjukkan adanya ketimpangan yang penting ketika istri memegang peran sebagai penopang ekonomi utama keluarga. Para ahli dan praktisi hukum mulai mengedepankan pola keadilan proporsional yang melampaui formalisme hukum, di mana kontribusi nyata masing-masing pihak menjadi faktor krusial dalam menentukan hak atas harta bersama pasca-perceraian</w:t>
      </w:r>
      <w:r w:rsidR="00003B3A">
        <w:rPr>
          <w:rFonts w:ascii="Book Antiqua" w:hAnsi="Book Antiqua" w:cs="Times New Roman"/>
          <w:sz w:val="24"/>
          <w:szCs w:val="24"/>
        </w:rPr>
        <w:t xml:space="preserve"> </w:t>
      </w:r>
      <w:r w:rsidR="00003B3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{"citationID":"WKSSwRU1","properties":{"formattedCitation":"(Sugianto dkk., 2024)","plainCitation":"(Sugianto dkk., 2024)","noteIndex":0},"citationItems":[{"id":3276,"uris":["http://zotero.org/users/14569500/items/L8N39CW4"],"itemData":{"id":3276,"type":"article-journal","container-title":"Majelis: Jurnal Hukum Indonesia","DOI":"10.62383/majelis.v1i3.346","issue":"3","journalAbbreviation":"Majelis: Jurnal Hukum Indonesia","page":"141-149","title":"Pembagian Harta Bersama Akibat Perceraian","volume":"1","author":[{"family":"Sugianto","given":"Eko"},{"family":"Prawesthi","given":"Wahyu"},{"family":"Marwiyah","given":"Siti"}],"issued":{"date-parts":[["2024"]]}}}],"schema":"https://github.com/citation-style-language/schema/raw/master/csl-citation.json"} </w:instrText>
      </w:r>
      <w:r w:rsidR="00003B3A">
        <w:rPr>
          <w:rFonts w:ascii="Book Antiqua" w:hAnsi="Book Antiqua" w:cs="Times New Roman"/>
          <w:sz w:val="24"/>
          <w:szCs w:val="24"/>
        </w:rPr>
        <w:fldChar w:fldCharType="separate"/>
      </w:r>
      <w:r w:rsidR="00003B3A" w:rsidRPr="00003B3A">
        <w:rPr>
          <w:rFonts w:ascii="Book Antiqua" w:hAnsi="Book Antiqua"/>
          <w:sz w:val="24"/>
        </w:rPr>
        <w:t>(Sugianto dkk., 2024)</w:t>
      </w:r>
      <w:r w:rsidR="00003B3A">
        <w:rPr>
          <w:rFonts w:ascii="Book Antiqua" w:hAnsi="Book Antiqua" w:cs="Times New Roman"/>
          <w:sz w:val="24"/>
          <w:szCs w:val="24"/>
        </w:rPr>
        <w:fldChar w:fldCharType="end"/>
      </w:r>
      <w:r w:rsidRPr="00F34E5C">
        <w:rPr>
          <w:rFonts w:ascii="Book Antiqua" w:hAnsi="Book Antiqua" w:cs="Times New Roman"/>
          <w:sz w:val="24"/>
          <w:szCs w:val="24"/>
        </w:rPr>
        <w:t>.</w:t>
      </w:r>
      <w:r w:rsidRPr="00F34E5C">
        <w:rPr>
          <w:rFonts w:ascii="Book Antiqua" w:hAnsi="Book Antiqua"/>
          <w:sz w:val="24"/>
          <w:szCs w:val="24"/>
        </w:rPr>
        <w:t xml:space="preserve"> </w:t>
      </w:r>
    </w:p>
    <w:p w14:paraId="67A23147" w14:textId="37A48BA5"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Rekonstruksi keadilan ini dilakukan dengan mengintegrasikan pendekatan </w:t>
      </w:r>
      <w:r w:rsidRPr="00F34E5C">
        <w:rPr>
          <w:rFonts w:ascii="Book Antiqua" w:hAnsi="Book Antiqua" w:cs="Times New Roman"/>
          <w:i/>
          <w:iCs/>
          <w:sz w:val="24"/>
          <w:szCs w:val="24"/>
        </w:rPr>
        <w:t>maqāşid al-sharī ah</w:t>
      </w:r>
      <w:r w:rsidRPr="00F34E5C">
        <w:rPr>
          <w:rFonts w:ascii="Book Antiqua" w:hAnsi="Book Antiqua" w:cs="Times New Roman"/>
          <w:sz w:val="24"/>
          <w:szCs w:val="24"/>
        </w:rPr>
        <w:t xml:space="preserve"> dan teori hukum progresif untuk menafsirkan norma-norma keluarga Islam secara lebih kontekstual. Melalui pola ini, prinsip </w:t>
      </w:r>
      <w:r w:rsidRPr="00F34E5C">
        <w:rPr>
          <w:rFonts w:ascii="Book Antiqua" w:hAnsi="Book Antiqua" w:cs="Times New Roman"/>
          <w:i/>
          <w:iCs/>
          <w:sz w:val="24"/>
          <w:szCs w:val="24"/>
        </w:rPr>
        <w:t>hifz al-māl</w:t>
      </w:r>
      <w:r w:rsidRPr="00F34E5C">
        <w:rPr>
          <w:rFonts w:ascii="Book Antiqua" w:hAnsi="Book Antiqua" w:cs="Times New Roman"/>
          <w:sz w:val="24"/>
          <w:szCs w:val="24"/>
        </w:rPr>
        <w:t xml:space="preserve"> (perlindungan harta) dan </w:t>
      </w:r>
      <w:r w:rsidRPr="00F34E5C">
        <w:rPr>
          <w:rFonts w:ascii="Book Antiqua" w:hAnsi="Book Antiqua" w:cs="Times New Roman"/>
          <w:i/>
          <w:iCs/>
          <w:sz w:val="24"/>
          <w:szCs w:val="24"/>
        </w:rPr>
        <w:t>hifz al-nasl</w:t>
      </w:r>
      <w:r w:rsidRPr="00F34E5C">
        <w:rPr>
          <w:rFonts w:ascii="Book Antiqua" w:hAnsi="Book Antiqua" w:cs="Times New Roman"/>
          <w:sz w:val="24"/>
          <w:szCs w:val="24"/>
        </w:rPr>
        <w:t xml:space="preserve"> (perlindungan keluarga) menjadi landasan untuk memastikan bahwa distribusi harta tidak hanya memenuhi kepastian angka, tetapi juga mencerminkan nilai-nilai kemaslahatan dan keadilan distributif yang seimbang. Hakim di lingkungan peradilan agama didorong untuk melakukan </w:t>
      </w:r>
      <w:r w:rsidRPr="00F34E5C">
        <w:rPr>
          <w:rFonts w:ascii="Book Antiqua" w:hAnsi="Book Antiqua" w:cs="Times New Roman"/>
          <w:i/>
          <w:iCs/>
          <w:sz w:val="24"/>
          <w:szCs w:val="24"/>
        </w:rPr>
        <w:t>justice-oriented reasoning</w:t>
      </w:r>
      <w:r w:rsidRPr="00F34E5C">
        <w:rPr>
          <w:rFonts w:ascii="Book Antiqua" w:hAnsi="Book Antiqua" w:cs="Times New Roman"/>
          <w:sz w:val="24"/>
          <w:szCs w:val="24"/>
        </w:rPr>
        <w:t xml:space="preserve"> dalam putusannya, yakni memberikan pengakuan hukum terhadap kontribusi ekonomi istri yang dominan sebagai bentuk dari keadilan yang selaras dengan tujuan moral syariat</w:t>
      </w:r>
      <w:r w:rsidR="00003B3A">
        <w:rPr>
          <w:rFonts w:ascii="Book Antiqua" w:hAnsi="Book Antiqua" w:cs="Times New Roman"/>
          <w:sz w:val="24"/>
          <w:szCs w:val="24"/>
        </w:rPr>
        <w:t xml:space="preserve"> </w:t>
      </w:r>
      <w:r w:rsidR="00003B3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{"citationID":"MHjIEnBh","properties":{"formattedCitation":"(Pratitis dkk., 2025)","plainCitation":"(Pratitis dkk., 2025)","noteIndex":0},"citationItems":[{"id":3277,"uris":["http://zotero.org/users/14569500/items/JNECEUKG"],"itemData":{"id":3277,"type":"article-journal","container-title":"AL-MIKRAJ Jurnal Studi Islam dan Humaniora","DOI":"10.37680/almikraj.v6i1.9064","issue":"1","journalAbbreviation":"AL-MIKRAJ Jurnal Studi Islam dan Humaniora","page":"1909-1922","title":"Rekonstruksi Keadilan Dalam Pembagian Harta Bersama Ketika Istri Lebih Dominan Mencari Nafkah: Perspektif Maqasid Syariah","volume":"6","author":[{"family":"Pratitis","given":"Sugih Ayu"},{"literal":"Sukiati"},{"literal":"Nurasiah"},{"family":"Harahap","given":"Mhd Yadi"}],"issued":{"date-parts":[["2025"]]}}}],"schema":"https://github.com/citation-style-language/schema/raw/master/csl-citation.json"} </w:instrText>
      </w:r>
      <w:r w:rsidR="00003B3A">
        <w:rPr>
          <w:rFonts w:ascii="Book Antiqua" w:hAnsi="Book Antiqua" w:cs="Times New Roman"/>
          <w:sz w:val="24"/>
          <w:szCs w:val="24"/>
        </w:rPr>
        <w:fldChar w:fldCharType="separate"/>
      </w:r>
      <w:r w:rsidR="00003B3A" w:rsidRPr="00003B3A">
        <w:rPr>
          <w:rFonts w:ascii="Book Antiqua" w:hAnsi="Book Antiqua"/>
          <w:sz w:val="24"/>
        </w:rPr>
        <w:t>(Pratitis dkk., 2025)</w:t>
      </w:r>
      <w:r w:rsidR="00003B3A">
        <w:rPr>
          <w:rFonts w:ascii="Book Antiqua" w:hAnsi="Book Antiqua" w:cs="Times New Roman"/>
          <w:sz w:val="24"/>
          <w:szCs w:val="24"/>
        </w:rPr>
        <w:fldChar w:fldCharType="end"/>
      </w:r>
      <w:r w:rsidRPr="00F34E5C">
        <w:rPr>
          <w:rFonts w:ascii="Book Antiqua" w:hAnsi="Book Antiqua" w:cs="Times New Roman"/>
          <w:sz w:val="24"/>
          <w:szCs w:val="24"/>
        </w:rPr>
        <w:t xml:space="preserve">. </w:t>
      </w:r>
    </w:p>
    <w:p w14:paraId="5449574B" w14:textId="58E54C81"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Reformulasi hukum Islam melalui pendekatan maslahat, keadilan, dan kepastian hukum menjadi kebutuhan mendesak mengingat problematika fundamental yang melekat pada status Kompilasi Hukum Islam (KHI) saat ini. Transformasi KHI menjadi Undang-Undang di intergerasi kan oleh kerangka </w:t>
      </w:r>
      <w:r w:rsidRPr="00F34E5C">
        <w:rPr>
          <w:rFonts w:ascii="Book Antiqua" w:hAnsi="Book Antiqua" w:cs="Times New Roman"/>
          <w:i/>
          <w:iCs/>
          <w:sz w:val="24"/>
          <w:szCs w:val="24"/>
        </w:rPr>
        <w:t>Maqashid al-Shari'ah</w:t>
      </w:r>
      <w:r w:rsidRPr="00F34E5C">
        <w:rPr>
          <w:rFonts w:ascii="Book Antiqua" w:hAnsi="Book Antiqua" w:cs="Times New Roman"/>
          <w:sz w:val="24"/>
          <w:szCs w:val="24"/>
        </w:rPr>
        <w:t xml:space="preserve">, khususnya prinsip </w:t>
      </w:r>
      <w:r w:rsidRPr="00F34E5C">
        <w:rPr>
          <w:rFonts w:ascii="Book Antiqua" w:hAnsi="Book Antiqua" w:cs="Times New Roman"/>
          <w:i/>
          <w:iCs/>
          <w:sz w:val="24"/>
          <w:szCs w:val="24"/>
        </w:rPr>
        <w:t>hifzh al-nasl</w:t>
      </w:r>
      <w:r w:rsidRPr="00F34E5C">
        <w:rPr>
          <w:rFonts w:ascii="Book Antiqua" w:hAnsi="Book Antiqua" w:cs="Times New Roman"/>
          <w:sz w:val="24"/>
          <w:szCs w:val="24"/>
        </w:rPr>
        <w:t xml:space="preserve"> (perlindungan keluarga) dan </w:t>
      </w:r>
      <w:r w:rsidRPr="00F34E5C">
        <w:rPr>
          <w:rFonts w:ascii="Book Antiqua" w:hAnsi="Book Antiqua" w:cs="Times New Roman"/>
          <w:i/>
          <w:iCs/>
          <w:sz w:val="24"/>
          <w:szCs w:val="24"/>
        </w:rPr>
        <w:t>hifzh al-mal</w:t>
      </w:r>
      <w:r w:rsidRPr="00F34E5C">
        <w:rPr>
          <w:rFonts w:ascii="Book Antiqua" w:hAnsi="Book Antiqua" w:cs="Times New Roman"/>
          <w:sz w:val="24"/>
          <w:szCs w:val="24"/>
        </w:rPr>
        <w:t xml:space="preserve"> (perlindungan harta), yang memungkinkan adaptasi hukum terhadap penerapan kondisi kontemporer melalui metodologi </w:t>
      </w:r>
      <w:r w:rsidRPr="00F34E5C">
        <w:rPr>
          <w:rFonts w:ascii="Book Antiqua" w:hAnsi="Book Antiqua" w:cs="Times New Roman"/>
          <w:i/>
          <w:iCs/>
          <w:sz w:val="24"/>
          <w:szCs w:val="24"/>
        </w:rPr>
        <w:t>Maslahah Mursalah</w:t>
      </w:r>
      <w:r w:rsidRPr="00F34E5C">
        <w:rPr>
          <w:rFonts w:ascii="Book Antiqua" w:hAnsi="Book Antiqua" w:cs="Times New Roman"/>
          <w:sz w:val="24"/>
          <w:szCs w:val="24"/>
        </w:rPr>
        <w:t xml:space="preserve"> untuk mewujudkan keadilan  yang melampaui formalitas teks. Langkah ini menyelesaikan kekurangan struktural dalam sistem hukum nasional dengan memberikan kekuatan mengikat yang setara dengan undang-undang lainnya, sehingga memperkuat struktur, substansi, dan budaya hukum sebagaimana diuraikan dalam Teori Sistem Hukum Lawrence Friedman</w:t>
      </w:r>
      <w:r w:rsidR="00003B3A">
        <w:rPr>
          <w:rFonts w:ascii="Book Antiqua" w:hAnsi="Book Antiqua" w:cs="Times New Roman"/>
          <w:sz w:val="24"/>
          <w:szCs w:val="24"/>
        </w:rPr>
        <w:t xml:space="preserve"> </w:t>
      </w:r>
      <w:r w:rsidR="00003B3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{"citationID":"HzAbGWxF","properties":{"formattedCitation":"(Friedman, 1975)","plainCitation":"(Friedman, 1975)","noteIndex":0},"citationItems":[{"id":2966,"uris":["http://zotero.org/users/14569500/items/CCN8E5QL"],"itemData":{"id":2966,"type":"book","publisher":"Russell Sage Foundation","publisher-place":"New York","title":"The Legal System: A Social Science Perspective","author":[{"family":"Friedman","given":"Lawrence M."}],"issued":{"date-parts":[["1975"]]}}}],"schema":"https://github.com/citation-style-language/schema/raw/master/csl-citation.json"} </w:instrText>
      </w:r>
      <w:r w:rsidR="00003B3A">
        <w:rPr>
          <w:rFonts w:ascii="Book Antiqua" w:hAnsi="Book Antiqua" w:cs="Times New Roman"/>
          <w:sz w:val="24"/>
          <w:szCs w:val="24"/>
        </w:rPr>
        <w:fldChar w:fldCharType="separate"/>
      </w:r>
      <w:r w:rsidR="00003B3A" w:rsidRPr="00003B3A">
        <w:rPr>
          <w:rFonts w:ascii="Book Antiqua" w:hAnsi="Book Antiqua"/>
          <w:sz w:val="24"/>
        </w:rPr>
        <w:t>(Friedman, 1975)</w:t>
      </w:r>
      <w:r w:rsidR="00003B3A">
        <w:rPr>
          <w:rFonts w:ascii="Book Antiqua" w:hAnsi="Book Antiqua" w:cs="Times New Roman"/>
          <w:sz w:val="24"/>
          <w:szCs w:val="24"/>
        </w:rPr>
        <w:fldChar w:fldCharType="end"/>
      </w:r>
      <w:r w:rsidRPr="00F34E5C">
        <w:rPr>
          <w:rFonts w:ascii="Book Antiqua" w:hAnsi="Book Antiqua" w:cs="Times New Roman"/>
          <w:sz w:val="24"/>
          <w:szCs w:val="24"/>
        </w:rPr>
        <w:t xml:space="preserve">. ransformasi ini mendesak untuk dilakukan guna mengisi kekosongan norma materiil yang krusial, terutama mengenai harta bersama dalam poligami dan pengakuan terhadap kontribusi non-ekonomi istri, yang dibuktikan oleh banyaknya putusan Mahkamah Agung yang terpaksa melakukan </w:t>
      </w:r>
      <w:r w:rsidRPr="00F34E5C">
        <w:rPr>
          <w:rFonts w:ascii="Book Antiqua" w:hAnsi="Book Antiqua" w:cs="Times New Roman"/>
          <w:i/>
          <w:iCs/>
          <w:sz w:val="24"/>
          <w:szCs w:val="24"/>
        </w:rPr>
        <w:t>legal borrowing</w:t>
      </w:r>
      <w:r w:rsidRPr="00F34E5C">
        <w:rPr>
          <w:rFonts w:ascii="Book Antiqua" w:hAnsi="Book Antiqua" w:cs="Times New Roman"/>
          <w:sz w:val="24"/>
          <w:szCs w:val="24"/>
        </w:rPr>
        <w:t xml:space="preserve"> terhadap Pasal 1365 KUHPerdata dalam perkara keluarga Islam</w:t>
      </w:r>
      <w:r w:rsidR="00003B3A">
        <w:rPr>
          <w:rFonts w:ascii="Book Antiqua" w:hAnsi="Book Antiqua" w:cs="Times New Roman"/>
          <w:sz w:val="24"/>
          <w:szCs w:val="24"/>
        </w:rPr>
        <w:t xml:space="preserve"> </w:t>
      </w:r>
      <w:r w:rsidR="00003B3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{"citationID":"7tpBYL97","properties":{"formattedCitation":"(Hamzah, 2025)","plainCitation":"(Hamzah, 2025)","noteIndex":0},"citationItems":[{"id":3255,"uris":["http://zotero.org/users/14569500/items/5ZWSTDMB"],"itemData":{"id":3255,"type":"article-journal","container-title":"Maqasid: Jurnal Studi Hukum Islam","issue":"3","journalAbbreviation":"Maqasid: Jurnal Studi Hukum Islam","page":"421-435","title":"Transformasi Kompilasi Hukum Islam Menjadi Undang-Undang: Kajian Filosofis, Teoretis, dan Dogmatis","volume":"14","author":[{"family":"Hamzah","given":"Saiful Ibnu"}],"issued":{"date-parts":[["2025"]]}}}],"schema":"https://github.com/citation-style-language/schema/raw/master/csl-citation.json"} </w:instrText>
      </w:r>
      <w:r w:rsidR="00003B3A">
        <w:rPr>
          <w:rFonts w:ascii="Book Antiqua" w:hAnsi="Book Antiqua" w:cs="Times New Roman"/>
          <w:sz w:val="24"/>
          <w:szCs w:val="24"/>
        </w:rPr>
        <w:fldChar w:fldCharType="separate"/>
      </w:r>
      <w:r w:rsidR="00003B3A" w:rsidRPr="00003B3A">
        <w:rPr>
          <w:rFonts w:ascii="Book Antiqua" w:hAnsi="Book Antiqua"/>
          <w:sz w:val="24"/>
        </w:rPr>
        <w:t>(Hamzah, 2025)</w:t>
      </w:r>
      <w:r w:rsidR="00003B3A">
        <w:rPr>
          <w:rFonts w:ascii="Book Antiqua" w:hAnsi="Book Antiqua" w:cs="Times New Roman"/>
          <w:sz w:val="24"/>
          <w:szCs w:val="24"/>
        </w:rPr>
        <w:fldChar w:fldCharType="end"/>
      </w:r>
      <w:r w:rsidRPr="00F34E5C">
        <w:rPr>
          <w:rFonts w:ascii="Book Antiqua" w:hAnsi="Book Antiqua" w:cs="Times New Roman"/>
          <w:sz w:val="24"/>
          <w:szCs w:val="24"/>
        </w:rPr>
        <w:t>.</w:t>
      </w:r>
    </w:p>
    <w:p w14:paraId="1CA6C4AB"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Konsep harta bersama memiliki relevansi yang krusial dalam mewujudkan perlindungan hak suami dan istri di Indonesia, terutama sebagai instrumen untuk menjamin keadilan pasca-perceraian. Perlindungan ini diwujudkan melalui </w:t>
      </w:r>
      <w:r w:rsidRPr="00F34E5C">
        <w:rPr>
          <w:rFonts w:ascii="Book Antiqua" w:hAnsi="Book Antiqua" w:cs="Times New Roman"/>
          <w:sz w:val="24"/>
          <w:szCs w:val="24"/>
        </w:rPr>
        <w:lastRenderedPageBreak/>
        <w:t xml:space="preserve">pengakuan hukum atas hak kepemilikan bersama terhadap aset yang diperoleh selama ikatan perkawinan, tanpa memandang atas nama siapa aset tersebut terdaftar. Dalam implementasinya, pembagian harta bersama tidak selalu dilakukan dengan porsi rata (50:50), melainkan menerapkan prinsip keadilan merata yang mempertimbangkan kontribusi nyata masing-masing pihak dalam perolehan aset selama masa perkawinan. </w:t>
      </w:r>
    </w:p>
    <w:p w14:paraId="44D3A797" w14:textId="6E53CB1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Hukum memberikan perlindungan bagi suami dan istri dengan mewajibkan adanya persetujuan kedua belah pihak untuk setiap perbuatan hukum yang berkaitan dengan harta bersama, seperti menjual atau memindahkan aset, guna mencegah tindakan sewenang-wenang oleh salah satu pihak. Selain itu, hakim di Pengadilan Agama memiliki kewenangan untuk menetapkan pembagian harta yang proporsional sesuai dengan fakta hukum di persidangan, sehingga hak masing-masing pihak tetap terjaga sesuai dengan jasa atau kontribusi yang diberikan selama pernikahan. Konsep ini juga membantu membedakan secara jelas antara harta yang menjadi hak milik pribadi, seperti harta bawaan, hibah, atau warisan khusus, dengan harta yang menjadi hak bersama, sehingga masing-masing pihak mendapatkan perlindungan hukum atas hak miliknya secara terpisah. Terakhir, keberadaan perjanjian perkawinan memberikan ruang bagi suami dan istri untuk menetapkan pengaturan harta mereka sendiri secara tertulis, yang diakui secara hukum sebagai bentuk perlindungan hak yang dapat menyimpangi ketentuan umum jika diperlukan</w:t>
      </w:r>
      <w:r w:rsidR="00132124">
        <w:rPr>
          <w:rFonts w:ascii="Book Antiqua" w:hAnsi="Book Antiqua" w:cs="Times New Roman"/>
          <w:sz w:val="24"/>
          <w:szCs w:val="24"/>
        </w:rPr>
        <w:t xml:space="preserve"> </w:t>
      </w:r>
      <w:r w:rsidR="00003B3A">
        <w:rPr>
          <w:rFonts w:ascii="Book Antiqua" w:hAnsi="Book Antiqua" w:cs="Times New Roman"/>
          <w:sz w:val="24"/>
          <w:szCs w:val="24"/>
        </w:rPr>
        <w:fldChar w:fldCharType="begin"/>
      </w:r>
      <w:r w:rsidR="00003B3A">
        <w:rPr>
          <w:rFonts w:ascii="Book Antiqua" w:hAnsi="Book Antiqua" w:cs="Times New Roman"/>
          <w:sz w:val="24"/>
          <w:szCs w:val="24"/>
        </w:rPr>
        <w:instrText xml:space="preserve"> ADDIN ZOTERO_ITEM CSL_CITATION {"citationID":"9ZvGhydK","properties":{"formattedCitation":"(Jamil dkk., 2025)","plainCitation":"(Jamil dkk., 2025)","noteIndex":0},"citationItems":[{"id":3280,"uris":["http://zotero.org/users/14569500/items/JHGWMPH4"],"itemData":{"id":3280,"type":"article-journal","container-title":"Indonesian Journal of Islamic Jurisprudence, Economic and Legal Theory","DOI":"10.62976/ijijel.v3i1.1044","issue":"1","journalAbbreviation":"Indonesian Journal of Islamic Jurisprudence, Economic and Legal Theory","page":"939-960","title":"Keadilan Distributif Dalam Pembagian Harta Bersama Pasca Perceraian: Kajian Yuridis Dan Sosiologis","volume":"3","author":[{"family":"Jamil","given":"Abdul"},{"family":"Nikmah","given":"Kholisatun"},{"family":"Rahman","given":"Nur Fuadi"}],"issued":{"date-parts":[["2025"]]}}}],"schema":"https://github.com/citation-style-language/schema/raw/master/csl-citation.json"} </w:instrText>
      </w:r>
      <w:r w:rsidR="00003B3A">
        <w:rPr>
          <w:rFonts w:ascii="Book Antiqua" w:hAnsi="Book Antiqua" w:cs="Times New Roman"/>
          <w:sz w:val="24"/>
          <w:szCs w:val="24"/>
        </w:rPr>
        <w:fldChar w:fldCharType="separate"/>
      </w:r>
      <w:r w:rsidR="00003B3A" w:rsidRPr="00003B3A">
        <w:rPr>
          <w:rFonts w:ascii="Book Antiqua" w:hAnsi="Book Antiqua"/>
          <w:sz w:val="24"/>
        </w:rPr>
        <w:t>(Jamil dkk., 2025)</w:t>
      </w:r>
      <w:r w:rsidR="00003B3A">
        <w:rPr>
          <w:rFonts w:ascii="Book Antiqua" w:hAnsi="Book Antiqua" w:cs="Times New Roman"/>
          <w:sz w:val="24"/>
          <w:szCs w:val="24"/>
        </w:rPr>
        <w:fldChar w:fldCharType="end"/>
      </w:r>
      <w:r w:rsidR="00132124">
        <w:rPr>
          <w:rFonts w:ascii="Book Antiqua" w:hAnsi="Book Antiqua" w:cs="Times New Roman"/>
          <w:sz w:val="24"/>
          <w:szCs w:val="24"/>
        </w:rPr>
        <w:t>.</w:t>
      </w:r>
    </w:p>
    <w:p w14:paraId="595F1B28" w14:textId="77777777" w:rsidR="00F34E5C" w:rsidRPr="00F34E5C" w:rsidRDefault="00F34E5C" w:rsidP="00132124">
      <w:pPr>
        <w:spacing w:after="0" w:line="276" w:lineRule="auto"/>
        <w:rPr>
          <w:rFonts w:ascii="Book Antiqua" w:hAnsi="Book Antiqua" w:cstheme="majorBidi"/>
          <w:b/>
          <w:bCs/>
          <w:sz w:val="24"/>
          <w:szCs w:val="24"/>
        </w:rPr>
      </w:pPr>
    </w:p>
    <w:p w14:paraId="692AB290" w14:textId="3E3A3063" w:rsidR="00372B98" w:rsidRPr="00F34E5C" w:rsidRDefault="008105C8" w:rsidP="00132124">
      <w:pPr>
        <w:spacing w:after="0" w:line="276" w:lineRule="auto"/>
        <w:rPr>
          <w:rFonts w:ascii="Book Antiqua" w:hAnsi="Book Antiqua" w:cstheme="majorBidi"/>
          <w:b/>
          <w:bCs/>
          <w:sz w:val="24"/>
          <w:szCs w:val="24"/>
        </w:rPr>
      </w:pPr>
      <w:r w:rsidRPr="00F34E5C">
        <w:rPr>
          <w:rFonts w:ascii="Book Antiqua" w:hAnsi="Book Antiqua" w:cstheme="majorBidi"/>
          <w:b/>
          <w:bCs/>
          <w:sz w:val="24"/>
          <w:szCs w:val="24"/>
        </w:rPr>
        <w:t>PENUTUP</w:t>
      </w:r>
    </w:p>
    <w:p w14:paraId="7294FEFF" w14:textId="38F16022"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Konsep harta bersama dalam hukum Islam dan hukum positif di Indonesia berakar pada prinsip keseimbangan antara hak individu dan tanggung jawab sosial, dengan memandang Allah SWT sebagai pemilik hakiki atas segala sesuatu di alam semesta. Meskipun fikih klasik pada dasarnya memisahkan kepemilikan harta antara suami dan istri, Kompilasi Hukum Islam (KHI) melakukan ijtihad kontekstual dengan mengadopsi konsep </w:t>
      </w:r>
      <w:r w:rsidR="00003B3A" w:rsidRPr="00003B3A">
        <w:rPr>
          <w:rFonts w:ascii="Book Antiqua" w:hAnsi="Book Antiqua" w:cs="Times New Roman"/>
          <w:i/>
          <w:iCs/>
          <w:sz w:val="24"/>
          <w:szCs w:val="24"/>
        </w:rPr>
        <w:t>syirkah</w:t>
      </w:r>
      <w:r w:rsidRPr="00F34E5C">
        <w:rPr>
          <w:rFonts w:ascii="Book Antiqua" w:hAnsi="Book Antiqua" w:cs="Times New Roman"/>
          <w:i/>
          <w:iCs/>
          <w:sz w:val="24"/>
          <w:szCs w:val="24"/>
        </w:rPr>
        <w:t xml:space="preserve"> abdan</w:t>
      </w:r>
      <w:r w:rsidRPr="00F34E5C">
        <w:rPr>
          <w:rFonts w:ascii="Book Antiqua" w:hAnsi="Book Antiqua" w:cs="Times New Roman"/>
          <w:sz w:val="24"/>
          <w:szCs w:val="24"/>
        </w:rPr>
        <w:t xml:space="preserve"> untuk mengakui harta yang diperoleh selama perkawinan sebagai harta bersama. Prinsip ini memberikan landasan operasional bahwa meskipun suami atau istri memiliki peran ekonomi yang berbeda, hasil dari pengelolaan bersama tersebut secara hukum dilebur menjadi aset milik berdua, namun tetap menghormati hak milik pribadi masing-masing yang diperoleh sebelum perkawinan, hibah, maupun warisan.</w:t>
      </w:r>
    </w:p>
    <w:p w14:paraId="0EF6D9BC" w14:textId="77777777" w:rsidR="00F34E5C" w:rsidRP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 xml:space="preserve">Implementasi konsep harta bersama dalam praktik peradilan agama di Indonesia menekankan pentingnya keadilan merata, di mana pembagian aset pasca-perceraian tidak selalu harus dilakukan secara merata (50:50) melainkan mempertimbangkan kontribusi nyata masing-masing pihak. Hakim memiliki kewenangan untuk memutus perkara secara proporsional berdasarkan fakta hukum, asal-usul perolehan harta, serta jasa suami atau istri selama masa perkawinan. Selain itu, aspek perlindungan hak melalui kewajiban persetujuan </w:t>
      </w:r>
      <w:r w:rsidRPr="00F34E5C">
        <w:rPr>
          <w:rFonts w:ascii="Book Antiqua" w:hAnsi="Book Antiqua" w:cs="Times New Roman"/>
          <w:sz w:val="24"/>
          <w:szCs w:val="24"/>
        </w:rPr>
        <w:lastRenderedPageBreak/>
        <w:t>bersama dalam setiap perbuatan hukum terhadap harta bersama, serta peran perjanjian perkawinan, menjadi instrumen penting untuk menjamin kepastian dan perlindungan ekonomi bagi suami maupun istri agar tidak terjadi tindakan sewenang-wenang.</w:t>
      </w:r>
    </w:p>
    <w:p w14:paraId="2F0BC3D6" w14:textId="77777777" w:rsidR="00F34E5C" w:rsidRDefault="00F34E5C" w:rsidP="00132124">
      <w:pPr>
        <w:spacing w:after="0" w:line="276" w:lineRule="auto"/>
        <w:ind w:firstLine="720"/>
        <w:jc w:val="both"/>
        <w:rPr>
          <w:rFonts w:ascii="Book Antiqua" w:hAnsi="Book Antiqua" w:cs="Times New Roman"/>
          <w:sz w:val="24"/>
          <w:szCs w:val="24"/>
        </w:rPr>
      </w:pPr>
      <w:r w:rsidRPr="00F34E5C">
        <w:rPr>
          <w:rFonts w:ascii="Book Antiqua" w:hAnsi="Book Antiqua" w:cs="Times New Roman"/>
          <w:sz w:val="24"/>
          <w:szCs w:val="24"/>
        </w:rPr>
        <w:t>Mengingat adanya problematika terstruktur KHI sebagai Instruksi Presiden dan munculnya celah hukum dalam kasus kontemporer, diperlukan transformasi KHI menjadi Undang-Undang Hukum Keluarga Islam untuk mewujudkan kepastian hukum dan keadilan. Reformulasi ini mendesak untuk dilakukan guna mengisi kekosongan norma materiil, seperti pengaturan harta bersama dalam poligami, pengakuan atas nilai kontribusi non-ekonomi istri, serta integrasi prinsip maqashid syariah yang lebih adaptif. Transformasi sistemik ini akan memperkuat struktur, substansi, dan budaya hukum di Indonesia, sekaligus memastikan bahwa sistem hukum keluarga Islam mampu merespons dinamika sosial serta perkembangan ekonomi masyarakat secara adil, proporsional, dan berorientasi pada kemaslahatan umat.</w:t>
      </w:r>
    </w:p>
    <w:p w14:paraId="220225AD" w14:textId="77777777" w:rsidR="00003B3A" w:rsidRPr="00F34E5C" w:rsidRDefault="00003B3A" w:rsidP="00F34E5C">
      <w:pPr>
        <w:spacing w:line="276" w:lineRule="auto"/>
        <w:ind w:firstLine="720"/>
        <w:jc w:val="both"/>
        <w:rPr>
          <w:rFonts w:ascii="Book Antiqua" w:hAnsi="Book Antiqua" w:cs="Times New Roman"/>
          <w:sz w:val="24"/>
          <w:szCs w:val="24"/>
        </w:rPr>
      </w:pPr>
    </w:p>
    <w:p w14:paraId="714EE4B0" w14:textId="77777777" w:rsidR="00132124" w:rsidRDefault="00132124">
      <w:pPr>
        <w:rPr>
          <w:rFonts w:ascii="Book Antiqua" w:hAnsi="Book Antiqua" w:cstheme="majorBidi"/>
          <w:b/>
          <w:bCs/>
          <w:sz w:val="24"/>
          <w:szCs w:val="24"/>
          <w:lang w:val="en-US"/>
        </w:rPr>
      </w:pPr>
      <w:r>
        <w:rPr>
          <w:rFonts w:ascii="Book Antiqua" w:hAnsi="Book Antiqua" w:cstheme="majorBidi"/>
          <w:b/>
          <w:bCs/>
          <w:sz w:val="24"/>
          <w:szCs w:val="24"/>
          <w:lang w:val="en-US"/>
        </w:rPr>
        <w:br w:type="page"/>
      </w:r>
    </w:p>
    <w:p w14:paraId="1BC4F4D6" w14:textId="4B40000E" w:rsidR="00D1316D" w:rsidRDefault="00003B3A" w:rsidP="00132124">
      <w:pPr>
        <w:spacing w:after="0" w:line="240" w:lineRule="auto"/>
        <w:jc w:val="center"/>
        <w:rPr>
          <w:rFonts w:ascii="Book Antiqua" w:hAnsi="Book Antiqua" w:cstheme="majorBidi"/>
          <w:b/>
          <w:bCs/>
          <w:sz w:val="24"/>
          <w:szCs w:val="24"/>
          <w:lang w:val="en-US"/>
        </w:rPr>
      </w:pPr>
      <w:r>
        <w:rPr>
          <w:rFonts w:ascii="Book Antiqua" w:hAnsi="Book Antiqua" w:cstheme="majorBidi"/>
          <w:b/>
          <w:bCs/>
          <w:sz w:val="24"/>
          <w:szCs w:val="24"/>
          <w:lang w:val="en-US"/>
        </w:rPr>
        <w:lastRenderedPageBreak/>
        <w:t>DAFTAR PUSTAKA</w:t>
      </w:r>
    </w:p>
    <w:p w14:paraId="6376984D" w14:textId="77777777" w:rsidR="00132124" w:rsidRPr="00132124" w:rsidRDefault="00132124" w:rsidP="00132124">
      <w:pPr>
        <w:pStyle w:val="Bibliography"/>
        <w:spacing w:line="276" w:lineRule="auto"/>
        <w:rPr>
          <w:rFonts w:ascii="Book Antiqua" w:hAnsi="Book Antiqua"/>
          <w:sz w:val="24"/>
          <w:szCs w:val="24"/>
        </w:rPr>
      </w:pPr>
      <w:r w:rsidRPr="00132124">
        <w:rPr>
          <w:rFonts w:ascii="Book Antiqua" w:hAnsi="Book Antiqua"/>
          <w:sz w:val="24"/>
          <w:szCs w:val="24"/>
          <w:lang w:val="en-US"/>
        </w:rPr>
        <w:fldChar w:fldCharType="begin"/>
      </w:r>
      <w:r w:rsidRPr="00132124">
        <w:rPr>
          <w:rFonts w:ascii="Book Antiqua" w:hAnsi="Book Antiqua"/>
          <w:sz w:val="24"/>
          <w:szCs w:val="24"/>
          <w:lang w:val="en-US"/>
        </w:rPr>
        <w:instrText xml:space="preserve"> ADDIN ZOTERO_BIBL {"uncited":[],"omitted":[],"custom":[]} CSL_BIBLIOGRAPHY </w:instrText>
      </w:r>
      <w:r w:rsidRPr="00132124">
        <w:rPr>
          <w:rFonts w:ascii="Book Antiqua" w:hAnsi="Book Antiqua"/>
          <w:sz w:val="24"/>
          <w:szCs w:val="24"/>
          <w:lang w:val="en-US"/>
        </w:rPr>
        <w:fldChar w:fldCharType="separate"/>
      </w:r>
      <w:r w:rsidRPr="00132124">
        <w:rPr>
          <w:rFonts w:ascii="Book Antiqua" w:hAnsi="Book Antiqua"/>
          <w:sz w:val="24"/>
          <w:szCs w:val="24"/>
        </w:rPr>
        <w:t xml:space="preserve">Abdussamad, H. Z. (2021). </w:t>
      </w:r>
      <w:r w:rsidRPr="00132124">
        <w:rPr>
          <w:rFonts w:ascii="Book Antiqua" w:hAnsi="Book Antiqua"/>
          <w:i/>
          <w:iCs/>
          <w:sz w:val="24"/>
          <w:szCs w:val="24"/>
        </w:rPr>
        <w:t>Metode Penelitian Kualitatif</w:t>
      </w:r>
      <w:r w:rsidRPr="00132124">
        <w:rPr>
          <w:rFonts w:ascii="Book Antiqua" w:hAnsi="Book Antiqua"/>
          <w:sz w:val="24"/>
          <w:szCs w:val="24"/>
        </w:rPr>
        <w:t>. CV. Syakir Media Press.</w:t>
      </w:r>
    </w:p>
    <w:p w14:paraId="02C8708E" w14:textId="46C6E57C" w:rsidR="00003B3A" w:rsidRPr="00132124" w:rsidRDefault="00132124" w:rsidP="00132124">
      <w:pPr>
        <w:spacing w:after="0" w:line="276" w:lineRule="auto"/>
        <w:ind w:left="720" w:hanging="720"/>
        <w:rPr>
          <w:rFonts w:ascii="Book Antiqua" w:hAnsi="Book Antiqua"/>
          <w:sz w:val="24"/>
          <w:szCs w:val="24"/>
        </w:rPr>
      </w:pPr>
      <w:r w:rsidRPr="00132124">
        <w:rPr>
          <w:rFonts w:ascii="Book Antiqua" w:hAnsi="Book Antiqua"/>
          <w:sz w:val="24"/>
          <w:szCs w:val="24"/>
          <w:lang w:val="en-US"/>
        </w:rPr>
        <w:fldChar w:fldCharType="end"/>
      </w:r>
      <w:r w:rsidR="00003B3A" w:rsidRPr="00132124">
        <w:rPr>
          <w:rFonts w:ascii="Book Antiqua" w:hAnsi="Book Antiqua" w:cstheme="majorBidi"/>
          <w:sz w:val="24"/>
          <w:szCs w:val="24"/>
          <w:lang w:val="en-US"/>
        </w:rPr>
        <w:fldChar w:fldCharType="begin"/>
      </w:r>
      <w:r w:rsidR="00003B3A" w:rsidRPr="00132124">
        <w:rPr>
          <w:rFonts w:ascii="Book Antiqua" w:hAnsi="Book Antiqua" w:cstheme="majorBidi"/>
          <w:sz w:val="24"/>
          <w:szCs w:val="24"/>
          <w:lang w:val="en-US"/>
        </w:rPr>
        <w:instrText xml:space="preserve"> ADDIN ZOTERO_BIBL {"uncited":[],"omitted":[],"custom":[]} CSL_BIBLIOGRAPHY </w:instrText>
      </w:r>
      <w:r w:rsidR="00003B3A" w:rsidRPr="00132124">
        <w:rPr>
          <w:rFonts w:ascii="Book Antiqua" w:hAnsi="Book Antiqua" w:cstheme="majorBidi"/>
          <w:sz w:val="24"/>
          <w:szCs w:val="24"/>
          <w:lang w:val="en-US"/>
        </w:rPr>
        <w:fldChar w:fldCharType="separate"/>
      </w:r>
      <w:r w:rsidR="00003B3A" w:rsidRPr="00132124">
        <w:rPr>
          <w:rFonts w:ascii="Book Antiqua" w:hAnsi="Book Antiqua"/>
          <w:sz w:val="24"/>
          <w:szCs w:val="24"/>
        </w:rPr>
        <w:t xml:space="preserve">Afrizal, &amp; Kodri, A. (2023). Pembagian Harta Bersama (Studi Analisis Pasal 97 Kompilasi Hukum Islam dalam Perspektif Maqashid Syariah). </w:t>
      </w:r>
      <w:r w:rsidR="00003B3A" w:rsidRPr="00132124">
        <w:rPr>
          <w:rFonts w:ascii="Book Antiqua" w:hAnsi="Book Antiqua"/>
          <w:i/>
          <w:iCs/>
          <w:sz w:val="24"/>
          <w:szCs w:val="24"/>
        </w:rPr>
        <w:t>Islamic Law Journal</w:t>
      </w:r>
      <w:r w:rsidR="00003B3A" w:rsidRPr="00132124">
        <w:rPr>
          <w:rFonts w:ascii="Book Antiqua" w:hAnsi="Book Antiqua"/>
          <w:sz w:val="24"/>
          <w:szCs w:val="24"/>
        </w:rPr>
        <w:t xml:space="preserve">, </w:t>
      </w:r>
      <w:r w:rsidR="00003B3A" w:rsidRPr="00132124">
        <w:rPr>
          <w:rFonts w:ascii="Book Antiqua" w:hAnsi="Book Antiqua"/>
          <w:i/>
          <w:iCs/>
          <w:sz w:val="24"/>
          <w:szCs w:val="24"/>
        </w:rPr>
        <w:t>1</w:t>
      </w:r>
      <w:r w:rsidR="00003B3A" w:rsidRPr="00132124">
        <w:rPr>
          <w:rFonts w:ascii="Book Antiqua" w:hAnsi="Book Antiqua"/>
          <w:sz w:val="24"/>
          <w:szCs w:val="24"/>
        </w:rPr>
        <w:t>(1), 47–61.</w:t>
      </w:r>
    </w:p>
    <w:p w14:paraId="5E929E8C"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Aibak, K., &amp; Anusantari, I. (2022). Pengaturan Harta Bersama Pasca Perceraian: Studi Komparatif Hukum Keluarga Islam Indonesia dan Malaysia. </w:t>
      </w:r>
      <w:r w:rsidRPr="00132124">
        <w:rPr>
          <w:rFonts w:ascii="Book Antiqua" w:hAnsi="Book Antiqua"/>
          <w:i/>
          <w:iCs/>
          <w:sz w:val="24"/>
          <w:szCs w:val="24"/>
        </w:rPr>
        <w:t>Hukum Islam</w:t>
      </w:r>
      <w:r w:rsidRPr="00132124">
        <w:rPr>
          <w:rFonts w:ascii="Book Antiqua" w:hAnsi="Book Antiqua"/>
          <w:sz w:val="24"/>
          <w:szCs w:val="24"/>
        </w:rPr>
        <w:t xml:space="preserve">, </w:t>
      </w:r>
      <w:r w:rsidRPr="00132124">
        <w:rPr>
          <w:rFonts w:ascii="Book Antiqua" w:hAnsi="Book Antiqua"/>
          <w:i/>
          <w:iCs/>
          <w:sz w:val="24"/>
          <w:szCs w:val="24"/>
        </w:rPr>
        <w:t>22</w:t>
      </w:r>
      <w:r w:rsidRPr="00132124">
        <w:rPr>
          <w:rFonts w:ascii="Book Antiqua" w:hAnsi="Book Antiqua"/>
          <w:sz w:val="24"/>
          <w:szCs w:val="24"/>
        </w:rPr>
        <w:t>(2), 73–96. https://doi.org/10.24014/jhi.v22i2.17169</w:t>
      </w:r>
    </w:p>
    <w:p w14:paraId="39D94C16"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Alfarisi, U., Fikri, Z., &amp; Risidianto. (2023). Pandangan Hukum Positif Dan Hukum Islam Terhadap Pembagian Harta Gono-Gini. </w:t>
      </w:r>
      <w:r w:rsidRPr="00132124">
        <w:rPr>
          <w:rFonts w:ascii="Book Antiqua" w:hAnsi="Book Antiqua"/>
          <w:i/>
          <w:iCs/>
          <w:sz w:val="24"/>
          <w:szCs w:val="24"/>
        </w:rPr>
        <w:t>Sahaja: Journal Sharia and Humanities</w:t>
      </w:r>
      <w:r w:rsidRPr="00132124">
        <w:rPr>
          <w:rFonts w:ascii="Book Antiqua" w:hAnsi="Book Antiqua"/>
          <w:sz w:val="24"/>
          <w:szCs w:val="24"/>
        </w:rPr>
        <w:t xml:space="preserve">, </w:t>
      </w:r>
      <w:r w:rsidRPr="00132124">
        <w:rPr>
          <w:rFonts w:ascii="Book Antiqua" w:hAnsi="Book Antiqua"/>
          <w:i/>
          <w:iCs/>
          <w:sz w:val="24"/>
          <w:szCs w:val="24"/>
        </w:rPr>
        <w:t>2</w:t>
      </w:r>
      <w:r w:rsidRPr="00132124">
        <w:rPr>
          <w:rFonts w:ascii="Book Antiqua" w:hAnsi="Book Antiqua"/>
          <w:sz w:val="24"/>
          <w:szCs w:val="24"/>
        </w:rPr>
        <w:t>(2), 177–187. https://doi.org/10.61159/sahaja.v2i2.126</w:t>
      </w:r>
    </w:p>
    <w:p w14:paraId="6048AFB2"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Azizah, L., &amp; Hafidzi, A. (2025). Hak Dan Kewajiban Suami-Istri, Harta Bersama, Serta Akibat Hukum Perceraian. </w:t>
      </w:r>
      <w:r w:rsidRPr="00132124">
        <w:rPr>
          <w:rFonts w:ascii="Book Antiqua" w:hAnsi="Book Antiqua"/>
          <w:i/>
          <w:iCs/>
          <w:sz w:val="24"/>
          <w:szCs w:val="24"/>
        </w:rPr>
        <w:t>Indonesian Journal of Islamic Jurisprudence, Economic and Legal Theory</w:t>
      </w:r>
      <w:r w:rsidRPr="00132124">
        <w:rPr>
          <w:rFonts w:ascii="Book Antiqua" w:hAnsi="Book Antiqua"/>
          <w:sz w:val="24"/>
          <w:szCs w:val="24"/>
        </w:rPr>
        <w:t xml:space="preserve">, </w:t>
      </w:r>
      <w:r w:rsidRPr="00132124">
        <w:rPr>
          <w:rFonts w:ascii="Book Antiqua" w:hAnsi="Book Antiqua"/>
          <w:i/>
          <w:iCs/>
          <w:sz w:val="24"/>
          <w:szCs w:val="24"/>
        </w:rPr>
        <w:t>3</w:t>
      </w:r>
      <w:r w:rsidRPr="00132124">
        <w:rPr>
          <w:rFonts w:ascii="Book Antiqua" w:hAnsi="Book Antiqua"/>
          <w:sz w:val="24"/>
          <w:szCs w:val="24"/>
        </w:rPr>
        <w:t>(2), 1735–1741. https://doi.org/10.62976/ijijel.v3i2.1164</w:t>
      </w:r>
    </w:p>
    <w:p w14:paraId="5F893959"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Dewi, K., &amp; Azzaki, M. A. (2024). Prinsip Kepemilikan dalam Ekonomi Islam: Keseimbangan Antara Hak Individu dan Kesejahteraan Sosial. </w:t>
      </w:r>
      <w:r w:rsidRPr="00132124">
        <w:rPr>
          <w:rFonts w:ascii="Book Antiqua" w:hAnsi="Book Antiqua"/>
          <w:i/>
          <w:iCs/>
          <w:sz w:val="24"/>
          <w:szCs w:val="24"/>
        </w:rPr>
        <w:t>Hamalatul Qur’an: Jurnal Ilmu Ilmu Alqur’an</w:t>
      </w:r>
      <w:r w:rsidRPr="00132124">
        <w:rPr>
          <w:rFonts w:ascii="Book Antiqua" w:hAnsi="Book Antiqua"/>
          <w:sz w:val="24"/>
          <w:szCs w:val="24"/>
        </w:rPr>
        <w:t xml:space="preserve">, </w:t>
      </w:r>
      <w:r w:rsidRPr="00132124">
        <w:rPr>
          <w:rFonts w:ascii="Book Antiqua" w:hAnsi="Book Antiqua"/>
          <w:i/>
          <w:iCs/>
          <w:sz w:val="24"/>
          <w:szCs w:val="24"/>
        </w:rPr>
        <w:t>5</w:t>
      </w:r>
      <w:r w:rsidRPr="00132124">
        <w:rPr>
          <w:rFonts w:ascii="Book Antiqua" w:hAnsi="Book Antiqua"/>
          <w:sz w:val="24"/>
          <w:szCs w:val="24"/>
        </w:rPr>
        <w:t>(2), 823–831.</w:t>
      </w:r>
    </w:p>
    <w:p w14:paraId="2E69E493"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Friedman, L. M. (1975). </w:t>
      </w:r>
      <w:r w:rsidRPr="00132124">
        <w:rPr>
          <w:rFonts w:ascii="Book Antiqua" w:hAnsi="Book Antiqua"/>
          <w:i/>
          <w:iCs/>
          <w:sz w:val="24"/>
          <w:szCs w:val="24"/>
        </w:rPr>
        <w:t>The Legal System: A Social Science Perspective</w:t>
      </w:r>
      <w:r w:rsidRPr="00132124">
        <w:rPr>
          <w:rFonts w:ascii="Book Antiqua" w:hAnsi="Book Antiqua"/>
          <w:sz w:val="24"/>
          <w:szCs w:val="24"/>
        </w:rPr>
        <w:t>. Russell Sage Foundation.</w:t>
      </w:r>
    </w:p>
    <w:p w14:paraId="2F729BB1"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Hamzah, S. I. (2025). Transformasi Kompilasi Hukum Islam Menjadi Undang-Undang: Kajian Filosofis, Teoretis, dan Dogmatis. </w:t>
      </w:r>
      <w:r w:rsidRPr="00132124">
        <w:rPr>
          <w:rFonts w:ascii="Book Antiqua" w:hAnsi="Book Antiqua"/>
          <w:i/>
          <w:iCs/>
          <w:sz w:val="24"/>
          <w:szCs w:val="24"/>
        </w:rPr>
        <w:t>Maqasid: Jurnal Studi Hukum Islam</w:t>
      </w:r>
      <w:r w:rsidRPr="00132124">
        <w:rPr>
          <w:rFonts w:ascii="Book Antiqua" w:hAnsi="Book Antiqua"/>
          <w:sz w:val="24"/>
          <w:szCs w:val="24"/>
        </w:rPr>
        <w:t xml:space="preserve">, </w:t>
      </w:r>
      <w:r w:rsidRPr="00132124">
        <w:rPr>
          <w:rFonts w:ascii="Book Antiqua" w:hAnsi="Book Antiqua"/>
          <w:i/>
          <w:iCs/>
          <w:sz w:val="24"/>
          <w:szCs w:val="24"/>
        </w:rPr>
        <w:t>14</w:t>
      </w:r>
      <w:r w:rsidRPr="00132124">
        <w:rPr>
          <w:rFonts w:ascii="Book Antiqua" w:hAnsi="Book Antiqua"/>
          <w:sz w:val="24"/>
          <w:szCs w:val="24"/>
        </w:rPr>
        <w:t>(3), 421–435.</w:t>
      </w:r>
    </w:p>
    <w:p w14:paraId="5ACBA94B"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Hasanuddin. (2025). Eksekusi Putusan Pengadilan Agama Atas Harta Bersama Dalam Perkara Perceraian: Studi Literatur Terhadap Konstruksi Hukum Eksekutorial Dan Gagasan Fiqih Modern Tentang Kepemilikan. </w:t>
      </w:r>
      <w:r w:rsidRPr="00132124">
        <w:rPr>
          <w:rFonts w:ascii="Book Antiqua" w:hAnsi="Book Antiqua"/>
          <w:i/>
          <w:iCs/>
          <w:sz w:val="24"/>
          <w:szCs w:val="24"/>
        </w:rPr>
        <w:t>ANDREW Law Journal</w:t>
      </w:r>
      <w:r w:rsidRPr="00132124">
        <w:rPr>
          <w:rFonts w:ascii="Book Antiqua" w:hAnsi="Book Antiqua"/>
          <w:sz w:val="24"/>
          <w:szCs w:val="24"/>
        </w:rPr>
        <w:t xml:space="preserve">, </w:t>
      </w:r>
      <w:r w:rsidRPr="00132124">
        <w:rPr>
          <w:rFonts w:ascii="Book Antiqua" w:hAnsi="Book Antiqua"/>
          <w:i/>
          <w:iCs/>
          <w:sz w:val="24"/>
          <w:szCs w:val="24"/>
        </w:rPr>
        <w:t>4</w:t>
      </w:r>
      <w:r w:rsidRPr="00132124">
        <w:rPr>
          <w:rFonts w:ascii="Book Antiqua" w:hAnsi="Book Antiqua"/>
          <w:sz w:val="24"/>
          <w:szCs w:val="24"/>
        </w:rPr>
        <w:t>(2), 802–828. https://doi.org/10.61876/alj.v4i2.133</w:t>
      </w:r>
    </w:p>
    <w:p w14:paraId="522A93D6"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Irwansyah. (2018). Konsep Harta dan Kepemilikannya Menurut Hukum Islam. </w:t>
      </w:r>
      <w:r w:rsidRPr="00132124">
        <w:rPr>
          <w:rFonts w:ascii="Book Antiqua" w:hAnsi="Book Antiqua"/>
          <w:i/>
          <w:iCs/>
          <w:sz w:val="24"/>
          <w:szCs w:val="24"/>
        </w:rPr>
        <w:t>Dusturiyah: Jurnal Hukum Islam, Perundang-undangan dan Pranata Sosial</w:t>
      </w:r>
      <w:r w:rsidRPr="00132124">
        <w:rPr>
          <w:rFonts w:ascii="Book Antiqua" w:hAnsi="Book Antiqua"/>
          <w:sz w:val="24"/>
          <w:szCs w:val="24"/>
        </w:rPr>
        <w:t xml:space="preserve">, </w:t>
      </w:r>
      <w:r w:rsidRPr="00132124">
        <w:rPr>
          <w:rFonts w:ascii="Book Antiqua" w:hAnsi="Book Antiqua"/>
          <w:i/>
          <w:iCs/>
          <w:sz w:val="24"/>
          <w:szCs w:val="24"/>
        </w:rPr>
        <w:t>8</w:t>
      </w:r>
      <w:r w:rsidRPr="00132124">
        <w:rPr>
          <w:rFonts w:ascii="Book Antiqua" w:hAnsi="Book Antiqua"/>
          <w:sz w:val="24"/>
          <w:szCs w:val="24"/>
        </w:rPr>
        <w:t>(2), 129–147. https://doi.org/10.22373/dusturiyah.v8i2.4220</w:t>
      </w:r>
    </w:p>
    <w:p w14:paraId="467660AB"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Jamil, A., Nikmah, K., &amp; Rahman, N. F. (2025). Keadilan Distributif Dalam Pembagian Harta Bersama Pasca Perceraian: Kajian Yuridis Dan Sosiologis. </w:t>
      </w:r>
      <w:r w:rsidRPr="00132124">
        <w:rPr>
          <w:rFonts w:ascii="Book Antiqua" w:hAnsi="Book Antiqua"/>
          <w:i/>
          <w:iCs/>
          <w:sz w:val="24"/>
          <w:szCs w:val="24"/>
        </w:rPr>
        <w:t>Indonesian Journal of Islamic Jurisprudence, Economic and Legal Theory</w:t>
      </w:r>
      <w:r w:rsidRPr="00132124">
        <w:rPr>
          <w:rFonts w:ascii="Book Antiqua" w:hAnsi="Book Antiqua"/>
          <w:sz w:val="24"/>
          <w:szCs w:val="24"/>
        </w:rPr>
        <w:t xml:space="preserve">, </w:t>
      </w:r>
      <w:r w:rsidRPr="00132124">
        <w:rPr>
          <w:rFonts w:ascii="Book Antiqua" w:hAnsi="Book Antiqua"/>
          <w:i/>
          <w:iCs/>
          <w:sz w:val="24"/>
          <w:szCs w:val="24"/>
        </w:rPr>
        <w:t>3</w:t>
      </w:r>
      <w:r w:rsidRPr="00132124">
        <w:rPr>
          <w:rFonts w:ascii="Book Antiqua" w:hAnsi="Book Antiqua"/>
          <w:sz w:val="24"/>
          <w:szCs w:val="24"/>
        </w:rPr>
        <w:t>(1), 939–960. https://doi.org/10.62976/ijijel.v3i1.1044</w:t>
      </w:r>
    </w:p>
    <w:p w14:paraId="4667577D"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Mubarak, A., Nazmi, N., Abduh, M. R., Azkia, N., Listiana, N., &amp; Ashidiqi, I. U. (2026). Marital Property Regimes in Islamic Law: A Comparative Madhhab Analysis and Its Integration into Modern Islamic Economic Governance. </w:t>
      </w:r>
      <w:r w:rsidRPr="00132124">
        <w:rPr>
          <w:rFonts w:ascii="Book Antiqua" w:hAnsi="Book Antiqua"/>
          <w:i/>
          <w:iCs/>
          <w:sz w:val="24"/>
          <w:szCs w:val="24"/>
        </w:rPr>
        <w:t>Syariah: Jurnal Hukum dan Pemikiran</w:t>
      </w:r>
      <w:r w:rsidRPr="00132124">
        <w:rPr>
          <w:rFonts w:ascii="Book Antiqua" w:hAnsi="Book Antiqua"/>
          <w:sz w:val="24"/>
          <w:szCs w:val="24"/>
        </w:rPr>
        <w:t xml:space="preserve">, </w:t>
      </w:r>
      <w:r w:rsidRPr="00132124">
        <w:rPr>
          <w:rFonts w:ascii="Book Antiqua" w:hAnsi="Book Antiqua"/>
          <w:i/>
          <w:iCs/>
          <w:sz w:val="24"/>
          <w:szCs w:val="24"/>
        </w:rPr>
        <w:t>26</w:t>
      </w:r>
      <w:r w:rsidRPr="00132124">
        <w:rPr>
          <w:rFonts w:ascii="Book Antiqua" w:hAnsi="Book Antiqua"/>
          <w:sz w:val="24"/>
          <w:szCs w:val="24"/>
        </w:rPr>
        <w:t>(1), 27–48. https://doi.org/10.18592/sjhp.v26i1.20553</w:t>
      </w:r>
    </w:p>
    <w:p w14:paraId="05942850"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lastRenderedPageBreak/>
        <w:t xml:space="preserve">Muchammad Ariyahdul Ma’rifat. (2024). Penggunaan Harta Bersama (Gono-Gini) Harus Melalui Persetujuan Suami Dan Istri. </w:t>
      </w:r>
      <w:r w:rsidRPr="00132124">
        <w:rPr>
          <w:rFonts w:ascii="Book Antiqua" w:hAnsi="Book Antiqua"/>
          <w:i/>
          <w:iCs/>
          <w:sz w:val="24"/>
          <w:szCs w:val="24"/>
        </w:rPr>
        <w:t>Justicia Journal</w:t>
      </w:r>
      <w:r w:rsidRPr="00132124">
        <w:rPr>
          <w:rFonts w:ascii="Book Antiqua" w:hAnsi="Book Antiqua"/>
          <w:sz w:val="24"/>
          <w:szCs w:val="24"/>
        </w:rPr>
        <w:t>, (Vol. 13 No. 2 (2024): September 2024), 232–255.</w:t>
      </w:r>
    </w:p>
    <w:p w14:paraId="1FDB26A2"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Murtado, M. N. (2024). Analisis Putusan Hakim Mengenai Sengketa Waris Di Pengadilan Agama Kendari (Studi Kasus Perkara No.0555 Pdt.G 2014 PA.Kdi). </w:t>
      </w:r>
      <w:r w:rsidRPr="00132124">
        <w:rPr>
          <w:rFonts w:ascii="Book Antiqua" w:hAnsi="Book Antiqua"/>
          <w:i/>
          <w:iCs/>
          <w:sz w:val="24"/>
          <w:szCs w:val="24"/>
        </w:rPr>
        <w:t>Legal Advice Journal of Law</w:t>
      </w:r>
      <w:r w:rsidRPr="00132124">
        <w:rPr>
          <w:rFonts w:ascii="Book Antiqua" w:hAnsi="Book Antiqua"/>
          <w:sz w:val="24"/>
          <w:szCs w:val="24"/>
        </w:rPr>
        <w:t xml:space="preserve">, </w:t>
      </w:r>
      <w:r w:rsidRPr="00132124">
        <w:rPr>
          <w:rFonts w:ascii="Book Antiqua" w:hAnsi="Book Antiqua"/>
          <w:i/>
          <w:iCs/>
          <w:sz w:val="24"/>
          <w:szCs w:val="24"/>
        </w:rPr>
        <w:t>1</w:t>
      </w:r>
      <w:r w:rsidRPr="00132124">
        <w:rPr>
          <w:rFonts w:ascii="Book Antiqua" w:hAnsi="Book Antiqua"/>
          <w:sz w:val="24"/>
          <w:szCs w:val="24"/>
        </w:rPr>
        <w:t>(2), 69–84.</w:t>
      </w:r>
    </w:p>
    <w:p w14:paraId="3565D6B7"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Nasution, A. S. (2023). Paradigma Harta (Al-Mal) dalam Perspektif Hukum Islam dan Hukum Nasional di Indonesia. </w:t>
      </w:r>
      <w:r w:rsidRPr="00132124">
        <w:rPr>
          <w:rFonts w:ascii="Book Antiqua" w:hAnsi="Book Antiqua"/>
          <w:i/>
          <w:iCs/>
          <w:sz w:val="24"/>
          <w:szCs w:val="24"/>
        </w:rPr>
        <w:t>Jurnal Cakrawala Ilmiah</w:t>
      </w:r>
      <w:r w:rsidRPr="00132124">
        <w:rPr>
          <w:rFonts w:ascii="Book Antiqua" w:hAnsi="Book Antiqua"/>
          <w:sz w:val="24"/>
          <w:szCs w:val="24"/>
        </w:rPr>
        <w:t xml:space="preserve">, </w:t>
      </w:r>
      <w:r w:rsidRPr="00132124">
        <w:rPr>
          <w:rFonts w:ascii="Book Antiqua" w:hAnsi="Book Antiqua"/>
          <w:i/>
          <w:iCs/>
          <w:sz w:val="24"/>
          <w:szCs w:val="24"/>
        </w:rPr>
        <w:t>2</w:t>
      </w:r>
      <w:r w:rsidRPr="00132124">
        <w:rPr>
          <w:rFonts w:ascii="Book Antiqua" w:hAnsi="Book Antiqua"/>
          <w:sz w:val="24"/>
          <w:szCs w:val="24"/>
        </w:rPr>
        <w:t>(9), 3523–3538. https://doi.org/10.53625/jcijurnalcakrawalailmiah.v2i9.5668</w:t>
      </w:r>
    </w:p>
    <w:p w14:paraId="1EEAF75C"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Nurdin, R., Abdullah, N., &amp; Pikahulan, R. M. (2024). Harta Bersama Serta Kedudukannya Menurut Kompilasi Hukum Islam (KHI) dan Kitab Undang-Undang Hukum Perdata (KUHPerdata). </w:t>
      </w:r>
      <w:r w:rsidRPr="00132124">
        <w:rPr>
          <w:rFonts w:ascii="Book Antiqua" w:hAnsi="Book Antiqua"/>
          <w:i/>
          <w:iCs/>
          <w:sz w:val="24"/>
          <w:szCs w:val="24"/>
        </w:rPr>
        <w:t>Al-Muqaranah</w:t>
      </w:r>
      <w:r w:rsidRPr="00132124">
        <w:rPr>
          <w:rFonts w:ascii="Book Antiqua" w:hAnsi="Book Antiqua"/>
          <w:sz w:val="24"/>
          <w:szCs w:val="24"/>
        </w:rPr>
        <w:t xml:space="preserve">, </w:t>
      </w:r>
      <w:r w:rsidRPr="00132124">
        <w:rPr>
          <w:rFonts w:ascii="Book Antiqua" w:hAnsi="Book Antiqua"/>
          <w:i/>
          <w:iCs/>
          <w:sz w:val="24"/>
          <w:szCs w:val="24"/>
        </w:rPr>
        <w:t>2</w:t>
      </w:r>
      <w:r w:rsidRPr="00132124">
        <w:rPr>
          <w:rFonts w:ascii="Book Antiqua" w:hAnsi="Book Antiqua"/>
          <w:sz w:val="24"/>
          <w:szCs w:val="24"/>
        </w:rPr>
        <w:t>(2), 57–80. https://doi.org/10.33477/am.v2i2.7894</w:t>
      </w:r>
    </w:p>
    <w:p w14:paraId="372045D6"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Paisal, Winario, M., Hidayat, H., &amp; Nongliasma. (2025). Relevansi Konsep Harta Bersama Dalam Kompilasi Hukum Islam Dengan Hukum Islam. </w:t>
      </w:r>
      <w:r w:rsidRPr="00132124">
        <w:rPr>
          <w:rFonts w:ascii="Book Antiqua" w:hAnsi="Book Antiqua"/>
          <w:i/>
          <w:iCs/>
          <w:sz w:val="24"/>
          <w:szCs w:val="24"/>
        </w:rPr>
        <w:t>Journal of Legal Sustainability</w:t>
      </w:r>
      <w:r w:rsidRPr="00132124">
        <w:rPr>
          <w:rFonts w:ascii="Book Antiqua" w:hAnsi="Book Antiqua"/>
          <w:sz w:val="24"/>
          <w:szCs w:val="24"/>
        </w:rPr>
        <w:t xml:space="preserve">, </w:t>
      </w:r>
      <w:r w:rsidRPr="00132124">
        <w:rPr>
          <w:rFonts w:ascii="Book Antiqua" w:hAnsi="Book Antiqua"/>
          <w:i/>
          <w:iCs/>
          <w:sz w:val="24"/>
          <w:szCs w:val="24"/>
        </w:rPr>
        <w:t>2</w:t>
      </w:r>
      <w:r w:rsidRPr="00132124">
        <w:rPr>
          <w:rFonts w:ascii="Book Antiqua" w:hAnsi="Book Antiqua"/>
          <w:sz w:val="24"/>
          <w:szCs w:val="24"/>
        </w:rPr>
        <w:t>(4), 1–12. https://doi.org/10.63477/jols.v2i4.422</w:t>
      </w:r>
    </w:p>
    <w:p w14:paraId="6C23EC2B"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Pratitis, S. A., Sukiati, Nurasiah, &amp; Harahap, M. Y. (2025). Rekonstruksi Keadilan Dalam Pembagian Harta Bersama Ketika Istri Lebih Dominan Mencari Nafkah: Perspektif Maqasid Syariah. </w:t>
      </w:r>
      <w:r w:rsidRPr="00132124">
        <w:rPr>
          <w:rFonts w:ascii="Book Antiqua" w:hAnsi="Book Antiqua"/>
          <w:i/>
          <w:iCs/>
          <w:sz w:val="24"/>
          <w:szCs w:val="24"/>
        </w:rPr>
        <w:t>AL-MIKRAJ Jurnal Studi Islam dan Humaniora</w:t>
      </w:r>
      <w:r w:rsidRPr="00132124">
        <w:rPr>
          <w:rFonts w:ascii="Book Antiqua" w:hAnsi="Book Antiqua"/>
          <w:sz w:val="24"/>
          <w:szCs w:val="24"/>
        </w:rPr>
        <w:t xml:space="preserve">, </w:t>
      </w:r>
      <w:r w:rsidRPr="00132124">
        <w:rPr>
          <w:rFonts w:ascii="Book Antiqua" w:hAnsi="Book Antiqua"/>
          <w:i/>
          <w:iCs/>
          <w:sz w:val="24"/>
          <w:szCs w:val="24"/>
        </w:rPr>
        <w:t>6</w:t>
      </w:r>
      <w:r w:rsidRPr="00132124">
        <w:rPr>
          <w:rFonts w:ascii="Book Antiqua" w:hAnsi="Book Antiqua"/>
          <w:sz w:val="24"/>
          <w:szCs w:val="24"/>
        </w:rPr>
        <w:t>(1), 1909–1922. https://doi.org/10.37680/almikraj.v6i1.9064</w:t>
      </w:r>
    </w:p>
    <w:p w14:paraId="39282E20"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Rahmadany. (2023). Pengaturan Hukum Dalam Pembagian Harta Bersama Perkawinan. </w:t>
      </w:r>
      <w:r w:rsidRPr="00132124">
        <w:rPr>
          <w:rFonts w:ascii="Book Antiqua" w:hAnsi="Book Antiqua"/>
          <w:i/>
          <w:iCs/>
          <w:sz w:val="24"/>
          <w:szCs w:val="24"/>
        </w:rPr>
        <w:t>Indonesia of Journal Business Law</w:t>
      </w:r>
      <w:r w:rsidRPr="00132124">
        <w:rPr>
          <w:rFonts w:ascii="Book Antiqua" w:hAnsi="Book Antiqua"/>
          <w:sz w:val="24"/>
          <w:szCs w:val="24"/>
        </w:rPr>
        <w:t xml:space="preserve">, </w:t>
      </w:r>
      <w:r w:rsidRPr="00132124">
        <w:rPr>
          <w:rFonts w:ascii="Book Antiqua" w:hAnsi="Book Antiqua"/>
          <w:i/>
          <w:iCs/>
          <w:sz w:val="24"/>
          <w:szCs w:val="24"/>
        </w:rPr>
        <w:t>2</w:t>
      </w:r>
      <w:r w:rsidRPr="00132124">
        <w:rPr>
          <w:rFonts w:ascii="Book Antiqua" w:hAnsi="Book Antiqua"/>
          <w:sz w:val="24"/>
          <w:szCs w:val="24"/>
        </w:rPr>
        <w:t>(2), 76–79. https://doi.org/10.47709/ijbl.v2i2.2561</w:t>
      </w:r>
    </w:p>
    <w:p w14:paraId="557E48E1" w14:textId="2173EFCC"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Raminah. (2025). Konseptual </w:t>
      </w:r>
      <w:r w:rsidRPr="00132124">
        <w:rPr>
          <w:rFonts w:ascii="Book Antiqua" w:hAnsi="Book Antiqua"/>
          <w:i/>
          <w:iCs/>
          <w:sz w:val="24"/>
          <w:szCs w:val="24"/>
        </w:rPr>
        <w:t>Syirkah</w:t>
      </w:r>
      <w:r w:rsidRPr="00132124">
        <w:rPr>
          <w:rFonts w:ascii="Book Antiqua" w:hAnsi="Book Antiqua"/>
          <w:sz w:val="24"/>
          <w:szCs w:val="24"/>
        </w:rPr>
        <w:t xml:space="preserve"> dalam Islam. </w:t>
      </w:r>
      <w:r w:rsidRPr="00132124">
        <w:rPr>
          <w:rFonts w:ascii="Book Antiqua" w:hAnsi="Book Antiqua"/>
          <w:i/>
          <w:iCs/>
          <w:sz w:val="24"/>
          <w:szCs w:val="24"/>
        </w:rPr>
        <w:t>Maliki Interdisciplinary Journal (MIJ)</w:t>
      </w:r>
      <w:r w:rsidRPr="00132124">
        <w:rPr>
          <w:rFonts w:ascii="Book Antiqua" w:hAnsi="Book Antiqua"/>
          <w:sz w:val="24"/>
          <w:szCs w:val="24"/>
        </w:rPr>
        <w:t xml:space="preserve">, </w:t>
      </w:r>
      <w:r w:rsidRPr="00132124">
        <w:rPr>
          <w:rFonts w:ascii="Book Antiqua" w:hAnsi="Book Antiqua"/>
          <w:i/>
          <w:iCs/>
          <w:sz w:val="24"/>
          <w:szCs w:val="24"/>
        </w:rPr>
        <w:t>3</w:t>
      </w:r>
      <w:r w:rsidRPr="00132124">
        <w:rPr>
          <w:rFonts w:ascii="Book Antiqua" w:hAnsi="Book Antiqua"/>
          <w:sz w:val="24"/>
          <w:szCs w:val="24"/>
        </w:rPr>
        <w:t>, 37–45.</w:t>
      </w:r>
    </w:p>
    <w:p w14:paraId="68BED5F9"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Siahaan, P. G., Simorangkir, R. F., Aritonang, A. B., Saragih, G. C. V., Lubis, J. U., Purba, P. P., &amp; Tampubolon, T. U. (2025). Perlindungan Hukum terhadap Harta Bawaan yang Bercampur dengan Harta Bersama Akibat Pengelolaan Bersama: Studi Kasus dan Analisis Yuridis. </w:t>
      </w:r>
      <w:r w:rsidRPr="00132124">
        <w:rPr>
          <w:rFonts w:ascii="Book Antiqua" w:hAnsi="Book Antiqua"/>
          <w:i/>
          <w:iCs/>
          <w:sz w:val="24"/>
          <w:szCs w:val="24"/>
        </w:rPr>
        <w:t>Jurnal Riset Rumpun Ilmu Sosial, Politik dan Humaniora</w:t>
      </w:r>
      <w:r w:rsidRPr="00132124">
        <w:rPr>
          <w:rFonts w:ascii="Book Antiqua" w:hAnsi="Book Antiqua"/>
          <w:sz w:val="24"/>
          <w:szCs w:val="24"/>
        </w:rPr>
        <w:t xml:space="preserve">, </w:t>
      </w:r>
      <w:r w:rsidRPr="00132124">
        <w:rPr>
          <w:rFonts w:ascii="Book Antiqua" w:hAnsi="Book Antiqua"/>
          <w:i/>
          <w:iCs/>
          <w:sz w:val="24"/>
          <w:szCs w:val="24"/>
        </w:rPr>
        <w:t>4</w:t>
      </w:r>
      <w:r w:rsidRPr="00132124">
        <w:rPr>
          <w:rFonts w:ascii="Book Antiqua" w:hAnsi="Book Antiqua"/>
          <w:sz w:val="24"/>
          <w:szCs w:val="24"/>
        </w:rPr>
        <w:t>(1), 686–696. https://doi.org/10.55606/jurrish.v4i1.5341</w:t>
      </w:r>
    </w:p>
    <w:p w14:paraId="248008BC" w14:textId="24F98E7D" w:rsidR="00132124"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Sugianto, E., Prawesthi, W., &amp; Marwiyah, S. (2024). Pembagian Harta Bersama Akibat Perceraian. </w:t>
      </w:r>
      <w:r w:rsidRPr="00132124">
        <w:rPr>
          <w:rFonts w:ascii="Book Antiqua" w:hAnsi="Book Antiqua"/>
          <w:i/>
          <w:iCs/>
          <w:sz w:val="24"/>
          <w:szCs w:val="24"/>
        </w:rPr>
        <w:t>Majelis: Jurnal Hukum Indonesia</w:t>
      </w:r>
      <w:r w:rsidRPr="00132124">
        <w:rPr>
          <w:rFonts w:ascii="Book Antiqua" w:hAnsi="Book Antiqua"/>
          <w:sz w:val="24"/>
          <w:szCs w:val="24"/>
        </w:rPr>
        <w:t xml:space="preserve">, </w:t>
      </w:r>
      <w:r w:rsidRPr="00132124">
        <w:rPr>
          <w:rFonts w:ascii="Book Antiqua" w:hAnsi="Book Antiqua"/>
          <w:i/>
          <w:iCs/>
          <w:sz w:val="24"/>
          <w:szCs w:val="24"/>
        </w:rPr>
        <w:t>1</w:t>
      </w:r>
      <w:r w:rsidRPr="00132124">
        <w:rPr>
          <w:rFonts w:ascii="Book Antiqua" w:hAnsi="Book Antiqua"/>
          <w:sz w:val="24"/>
          <w:szCs w:val="24"/>
        </w:rPr>
        <w:t>(3), 141–149. https://doi.org/10.62383/majelis.v1i3.346</w:t>
      </w:r>
    </w:p>
    <w:p w14:paraId="7E414AA3"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Tan, R., Afdal, W., &amp; Fitri, W. (2025). Pembagian Harta Bersama Atas Perkawinan Siri Perspektif Hukum Islam Dan Hukum Perdata. </w:t>
      </w:r>
      <w:r w:rsidRPr="00132124">
        <w:rPr>
          <w:rFonts w:ascii="Book Antiqua" w:hAnsi="Book Antiqua"/>
          <w:i/>
          <w:iCs/>
          <w:sz w:val="24"/>
          <w:szCs w:val="24"/>
        </w:rPr>
        <w:t>Jurnal Fundamental Justice</w:t>
      </w:r>
      <w:r w:rsidRPr="00132124">
        <w:rPr>
          <w:rFonts w:ascii="Book Antiqua" w:hAnsi="Book Antiqua"/>
          <w:sz w:val="24"/>
          <w:szCs w:val="24"/>
        </w:rPr>
        <w:t xml:space="preserve">, </w:t>
      </w:r>
      <w:r w:rsidRPr="00132124">
        <w:rPr>
          <w:rFonts w:ascii="Book Antiqua" w:hAnsi="Book Antiqua"/>
          <w:i/>
          <w:iCs/>
          <w:sz w:val="24"/>
          <w:szCs w:val="24"/>
        </w:rPr>
        <w:t>6</w:t>
      </w:r>
      <w:r w:rsidRPr="00132124">
        <w:rPr>
          <w:rFonts w:ascii="Book Antiqua" w:hAnsi="Book Antiqua"/>
          <w:sz w:val="24"/>
          <w:szCs w:val="24"/>
        </w:rPr>
        <w:t>(2), 283–302. https://doi.org/10.30812/fundamental.v6i2.5665</w:t>
      </w:r>
    </w:p>
    <w:p w14:paraId="29D93857"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Wardoyo, E. T., Hidayat, E., &amp; Mu’in, F. (2025). Tinjauan Hukum Keluarga Islam Terhadap Royalti Hak Atas Kekayaan Intelektual Sebagai Harta Bersama </w:t>
      </w:r>
      <w:r w:rsidRPr="00132124">
        <w:rPr>
          <w:rFonts w:ascii="Book Antiqua" w:hAnsi="Book Antiqua"/>
          <w:sz w:val="24"/>
          <w:szCs w:val="24"/>
        </w:rPr>
        <w:lastRenderedPageBreak/>
        <w:t xml:space="preserve">Dalam Putusan Nomor: 1622 Pdt.G 2023 PA.JB. </w:t>
      </w:r>
      <w:r w:rsidRPr="00132124">
        <w:rPr>
          <w:rFonts w:ascii="Book Antiqua" w:hAnsi="Book Antiqua"/>
          <w:i/>
          <w:iCs/>
          <w:sz w:val="24"/>
          <w:szCs w:val="24"/>
        </w:rPr>
        <w:t>JPNM Jurnal Pustaka Nusantara Multidisiplin</w:t>
      </w:r>
      <w:r w:rsidRPr="00132124">
        <w:rPr>
          <w:rFonts w:ascii="Book Antiqua" w:hAnsi="Book Antiqua"/>
          <w:sz w:val="24"/>
          <w:szCs w:val="24"/>
        </w:rPr>
        <w:t xml:space="preserve">, </w:t>
      </w:r>
      <w:r w:rsidRPr="00132124">
        <w:rPr>
          <w:rFonts w:ascii="Book Antiqua" w:hAnsi="Book Antiqua"/>
          <w:i/>
          <w:iCs/>
          <w:sz w:val="24"/>
          <w:szCs w:val="24"/>
        </w:rPr>
        <w:t>3</w:t>
      </w:r>
      <w:r w:rsidRPr="00132124">
        <w:rPr>
          <w:rFonts w:ascii="Book Antiqua" w:hAnsi="Book Antiqua"/>
          <w:sz w:val="24"/>
          <w:szCs w:val="24"/>
        </w:rPr>
        <w:t>(1). https://doi.org/10.59945/jpnm.v3i1.374</w:t>
      </w:r>
    </w:p>
    <w:p w14:paraId="0D533574" w14:textId="77777777" w:rsidR="00003B3A" w:rsidRPr="00132124" w:rsidRDefault="00003B3A" w:rsidP="00132124">
      <w:pPr>
        <w:pStyle w:val="Bibliography"/>
        <w:spacing w:line="276" w:lineRule="auto"/>
        <w:jc w:val="both"/>
        <w:rPr>
          <w:rFonts w:ascii="Book Antiqua" w:hAnsi="Book Antiqua"/>
          <w:sz w:val="24"/>
          <w:szCs w:val="24"/>
        </w:rPr>
      </w:pPr>
      <w:r w:rsidRPr="00132124">
        <w:rPr>
          <w:rFonts w:ascii="Book Antiqua" w:hAnsi="Book Antiqua"/>
          <w:sz w:val="24"/>
          <w:szCs w:val="24"/>
        </w:rPr>
        <w:t xml:space="preserve">Widiyastuti, A., Fatimah, S., Fitri, Abd. B. M., &amp; Yulianto, S. F. (2025). Pembagian Harta Gono Gini Akibat Perceraian Perspektif Hukum Islam. </w:t>
      </w:r>
      <w:r w:rsidRPr="00132124">
        <w:rPr>
          <w:rFonts w:ascii="Book Antiqua" w:hAnsi="Book Antiqua"/>
          <w:i/>
          <w:iCs/>
          <w:sz w:val="24"/>
          <w:szCs w:val="24"/>
        </w:rPr>
        <w:t>USRATUNA: Jurnal Hukum Keluarga Islam</w:t>
      </w:r>
      <w:r w:rsidRPr="00132124">
        <w:rPr>
          <w:rFonts w:ascii="Book Antiqua" w:hAnsi="Book Antiqua"/>
          <w:sz w:val="24"/>
          <w:szCs w:val="24"/>
        </w:rPr>
        <w:t xml:space="preserve">, </w:t>
      </w:r>
      <w:r w:rsidRPr="00132124">
        <w:rPr>
          <w:rFonts w:ascii="Book Antiqua" w:hAnsi="Book Antiqua"/>
          <w:i/>
          <w:iCs/>
          <w:sz w:val="24"/>
          <w:szCs w:val="24"/>
        </w:rPr>
        <w:t>8</w:t>
      </w:r>
      <w:r w:rsidRPr="00132124">
        <w:rPr>
          <w:rFonts w:ascii="Book Antiqua" w:hAnsi="Book Antiqua"/>
          <w:sz w:val="24"/>
          <w:szCs w:val="24"/>
        </w:rPr>
        <w:t>(2), 51–73. https://doi.org/10.65356/usratuna.v8i2.775</w:t>
      </w:r>
    </w:p>
    <w:p w14:paraId="00B8D740" w14:textId="6E5B649A" w:rsidR="00003B3A" w:rsidRPr="00132124" w:rsidRDefault="00003B3A" w:rsidP="00132124">
      <w:pPr>
        <w:spacing w:after="0" w:line="276" w:lineRule="auto"/>
        <w:ind w:left="720" w:hanging="720"/>
        <w:jc w:val="both"/>
        <w:rPr>
          <w:rFonts w:ascii="Book Antiqua" w:hAnsi="Book Antiqua" w:cstheme="majorBidi"/>
          <w:sz w:val="24"/>
          <w:szCs w:val="24"/>
          <w:lang w:val="en-US"/>
        </w:rPr>
      </w:pPr>
      <w:r w:rsidRPr="00132124">
        <w:rPr>
          <w:rFonts w:ascii="Book Antiqua" w:hAnsi="Book Antiqua" w:cstheme="majorBidi"/>
          <w:sz w:val="24"/>
          <w:szCs w:val="24"/>
          <w:lang w:val="en-US"/>
        </w:rPr>
        <w:fldChar w:fldCharType="end"/>
      </w:r>
    </w:p>
    <w:sectPr w:rsidR="00003B3A" w:rsidRPr="00132124" w:rsidSect="00892740">
      <w:headerReference w:type="default" r:id="rId11"/>
      <w:footerReference w:type="default" r:id="rId12"/>
      <w:type w:val="continuous"/>
      <w:pgSz w:w="11906" w:h="16838" w:code="9"/>
      <w:pgMar w:top="1418" w:right="1418" w:bottom="1418" w:left="1701" w:header="709" w:footer="709" w:gutter="0"/>
      <w:pgNumType w:start="73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3BDE1" w14:textId="77777777" w:rsidR="00D415D3" w:rsidRDefault="00D415D3" w:rsidP="00180B3C">
      <w:pPr>
        <w:spacing w:after="0" w:line="240" w:lineRule="auto"/>
      </w:pPr>
      <w:r>
        <w:separator/>
      </w:r>
    </w:p>
  </w:endnote>
  <w:endnote w:type="continuationSeparator" w:id="0">
    <w:p w14:paraId="196BB445" w14:textId="77777777" w:rsidR="00D415D3" w:rsidRDefault="00D415D3" w:rsidP="0018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rPr>
      <w:id w:val="-1825426203"/>
      <w:docPartObj>
        <w:docPartGallery w:val="Page Numbers (Bottom of Page)"/>
        <w:docPartUnique/>
      </w:docPartObj>
    </w:sdtPr>
    <w:sdtEndPr>
      <w:rPr>
        <w:color w:val="7F7F7F" w:themeColor="background1" w:themeShade="7F"/>
        <w:spacing w:val="60"/>
      </w:rPr>
    </w:sdtEndPr>
    <w:sdtContent>
      <w:p w14:paraId="6CBC3263" w14:textId="3CA63445" w:rsidR="00C9541F" w:rsidRPr="00C34229" w:rsidRDefault="00832B48">
        <w:pPr>
          <w:pStyle w:val="Footer"/>
          <w:pBdr>
            <w:top w:val="single" w:sz="4" w:space="1" w:color="D9D9D9" w:themeColor="background1" w:themeShade="D9"/>
          </w:pBdr>
          <w:jc w:val="right"/>
          <w:rPr>
            <w:rFonts w:ascii="Book Antiqua" w:hAnsi="Book Antiqua"/>
          </w:rPr>
        </w:pPr>
        <w:r>
          <w:rPr>
            <w:rFonts w:ascii="Book Antiqua" w:hAnsi="Book Antiqua" w:cs="Tahoma"/>
            <w:color w:val="000000" w:themeColor="text1"/>
            <w:lang w:val="en-US"/>
          </w:rPr>
          <w:t>AMEENA</w:t>
        </w:r>
        <w:r w:rsidR="00C9541F" w:rsidRPr="00C34229">
          <w:rPr>
            <w:rFonts w:ascii="Book Antiqua" w:hAnsi="Book Antiqua" w:cs="Tahoma"/>
            <w:color w:val="000000" w:themeColor="text1"/>
            <w:lang w:val="en-US"/>
          </w:rPr>
          <w:t xml:space="preserve"> JOURNAL</w:t>
        </w:r>
        <w:r w:rsidR="001B116E">
          <w:rPr>
            <w:rFonts w:ascii="Book Antiqua" w:hAnsi="Book Antiqua"/>
            <w:lang w:val="en-US"/>
          </w:rPr>
          <w:t xml:space="preserve"> |</w:t>
        </w:r>
        <w:r w:rsidR="00C9541F" w:rsidRPr="00C34229">
          <w:rPr>
            <w:rFonts w:ascii="Book Antiqua" w:hAnsi="Book Antiqua"/>
            <w:lang w:val="en-US"/>
          </w:rPr>
          <w:t xml:space="preserve">Volume </w:t>
        </w:r>
        <w:r w:rsidR="00132124">
          <w:rPr>
            <w:rFonts w:ascii="Book Antiqua" w:hAnsi="Book Antiqua"/>
            <w:lang w:val="en-US"/>
          </w:rPr>
          <w:t>4</w:t>
        </w:r>
        <w:r w:rsidR="001B116E">
          <w:rPr>
            <w:rFonts w:ascii="Book Antiqua" w:hAnsi="Book Antiqua"/>
            <w:lang w:val="en-US"/>
          </w:rPr>
          <w:t>|</w:t>
        </w:r>
        <w:r w:rsidR="00C9541F" w:rsidRPr="00C34229">
          <w:rPr>
            <w:rFonts w:ascii="Book Antiqua" w:hAnsi="Book Antiqua"/>
            <w:lang w:val="en-US"/>
          </w:rPr>
          <w:t xml:space="preserve"> Nomor </w:t>
        </w:r>
        <w:r w:rsidR="00132124">
          <w:rPr>
            <w:rFonts w:ascii="Book Antiqua" w:hAnsi="Book Antiqua"/>
            <w:lang w:val="en-US"/>
          </w:rPr>
          <w:t>3</w:t>
        </w:r>
        <w:r w:rsidR="001B116E">
          <w:rPr>
            <w:rFonts w:ascii="Book Antiqua" w:hAnsi="Book Antiqua"/>
            <w:lang w:val="en-US"/>
          </w:rPr>
          <w:t>|</w:t>
        </w:r>
        <w:r w:rsidR="00C9541F" w:rsidRPr="00C34229">
          <w:rPr>
            <w:rFonts w:ascii="Book Antiqua" w:hAnsi="Book Antiqua"/>
            <w:lang w:val="en-US"/>
          </w:rPr>
          <w:t xml:space="preserve"> 202</w:t>
        </w:r>
        <w:r w:rsidR="00132124">
          <w:rPr>
            <w:rFonts w:ascii="Book Antiqua" w:hAnsi="Book Antiqua"/>
            <w:lang w:val="en-US"/>
          </w:rPr>
          <w:t>6</w:t>
        </w:r>
        <w:r w:rsidR="00C9541F" w:rsidRPr="00C34229">
          <w:rPr>
            <w:rFonts w:ascii="Book Antiqua" w:hAnsi="Book Antiqua"/>
            <w:lang w:val="en-US"/>
          </w:rPr>
          <w:t xml:space="preserve"> </w:t>
        </w:r>
        <w:r w:rsidR="00C9541F" w:rsidRPr="001B116E">
          <w:rPr>
            <w:rFonts w:ascii="Book Antiqua" w:hAnsi="Book Antiqua"/>
            <w:color w:val="0000FF"/>
            <w:lang w:val="en-US"/>
          </w:rPr>
          <w:t>|</w:t>
        </w:r>
        <w:r w:rsidR="00C9541F" w:rsidRPr="00C34229">
          <w:rPr>
            <w:rFonts w:ascii="Book Antiqua" w:hAnsi="Book Antiqua"/>
            <w:lang w:val="en-US"/>
          </w:rPr>
          <w:t xml:space="preserve"> </w:t>
        </w:r>
        <w:r w:rsidR="00C9541F" w:rsidRPr="00C34229">
          <w:rPr>
            <w:rFonts w:ascii="Book Antiqua" w:hAnsi="Book Antiqua"/>
          </w:rPr>
          <w:fldChar w:fldCharType="begin"/>
        </w:r>
        <w:r w:rsidR="00C9541F" w:rsidRPr="00C34229">
          <w:rPr>
            <w:rFonts w:ascii="Book Antiqua" w:hAnsi="Book Antiqua"/>
          </w:rPr>
          <w:instrText xml:space="preserve"> PAGE   \* MERGEFORMAT </w:instrText>
        </w:r>
        <w:r w:rsidR="00C9541F" w:rsidRPr="00C34229">
          <w:rPr>
            <w:rFonts w:ascii="Book Antiqua" w:hAnsi="Book Antiqua"/>
          </w:rPr>
          <w:fldChar w:fldCharType="separate"/>
        </w:r>
        <w:r w:rsidR="00C9541F" w:rsidRPr="00C34229">
          <w:rPr>
            <w:rFonts w:ascii="Book Antiqua" w:hAnsi="Book Antiqua"/>
            <w:noProof/>
          </w:rPr>
          <w:t>2</w:t>
        </w:r>
        <w:r w:rsidR="00C9541F" w:rsidRPr="00C34229">
          <w:rPr>
            <w:rFonts w:ascii="Book Antiqua" w:hAnsi="Book Antiqua"/>
            <w:noProof/>
          </w:rPr>
          <w:fldChar w:fldCharType="end"/>
        </w:r>
        <w:r w:rsidR="00C9541F" w:rsidRPr="00C34229">
          <w:rPr>
            <w:rFonts w:ascii="Book Antiqua" w:hAnsi="Book Antiqua"/>
          </w:rPr>
          <w:t xml:space="preserve"> </w:t>
        </w:r>
      </w:p>
    </w:sdtContent>
  </w:sdt>
  <w:p w14:paraId="45E349CB" w14:textId="77777777" w:rsidR="006B4FA4" w:rsidRPr="00C34229" w:rsidRDefault="006B4FA4">
    <w:pPr>
      <w:pStyle w:val="Footer"/>
      <w:rPr>
        <w:rFonts w:ascii="Book Antiqua" w:hAnsi="Book Antiqu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91925" w14:textId="77777777" w:rsidR="00D415D3" w:rsidRDefault="00D415D3" w:rsidP="00180B3C">
      <w:pPr>
        <w:spacing w:after="0" w:line="240" w:lineRule="auto"/>
      </w:pPr>
      <w:r>
        <w:separator/>
      </w:r>
    </w:p>
  </w:footnote>
  <w:footnote w:type="continuationSeparator" w:id="0">
    <w:p w14:paraId="50DC1B85" w14:textId="77777777" w:rsidR="00D415D3" w:rsidRDefault="00D415D3" w:rsidP="00180B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F6107" w14:textId="52BE932E" w:rsidR="00361980" w:rsidRPr="00361980" w:rsidRDefault="00132124" w:rsidP="001B116E">
    <w:pPr>
      <w:pStyle w:val="Header"/>
      <w:jc w:val="right"/>
      <w:rPr>
        <w:rFonts w:ascii="Book Antiqua" w:hAnsi="Book Antiqua" w:cstheme="minorHAnsi"/>
        <w:lang w:val="en-US"/>
      </w:rPr>
    </w:pPr>
    <w:r w:rsidRPr="00132124">
      <w:rPr>
        <w:rFonts w:ascii="Book Antiqua" w:hAnsi="Book Antiqua"/>
      </w:rPr>
      <w:t>Harta Bersama Sebagai Reformulasi Hukum Islam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6772"/>
    <w:multiLevelType w:val="hybridMultilevel"/>
    <w:tmpl w:val="A1CA6FF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27A524F7"/>
    <w:multiLevelType w:val="hybridMultilevel"/>
    <w:tmpl w:val="01BA7E98"/>
    <w:lvl w:ilvl="0" w:tplc="06008C7C">
      <w:start w:val="9"/>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1DA36C9"/>
    <w:multiLevelType w:val="hybridMultilevel"/>
    <w:tmpl w:val="BF1295FA"/>
    <w:lvl w:ilvl="0" w:tplc="03D20324">
      <w:start w:val="1"/>
      <w:numFmt w:val="decimal"/>
      <w:pStyle w:val="Tabulasi"/>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31134139">
    <w:abstractNumId w:val="1"/>
  </w:num>
  <w:num w:numId="2" w16cid:durableId="1392999145">
    <w:abstractNumId w:val="0"/>
  </w:num>
  <w:num w:numId="3" w16cid:durableId="1054236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MzsDCyNLQ0NbcwNjZS0lEKTi0uzszPAykwqgUAJggzyiwAAAA="/>
  </w:docVars>
  <w:rsids>
    <w:rsidRoot w:val="0016797F"/>
    <w:rsid w:val="00003B3A"/>
    <w:rsid w:val="0000444E"/>
    <w:rsid w:val="00005697"/>
    <w:rsid w:val="00010A53"/>
    <w:rsid w:val="00012D85"/>
    <w:rsid w:val="00037461"/>
    <w:rsid w:val="00040111"/>
    <w:rsid w:val="00112C01"/>
    <w:rsid w:val="00113E86"/>
    <w:rsid w:val="001235E4"/>
    <w:rsid w:val="00132124"/>
    <w:rsid w:val="00135E48"/>
    <w:rsid w:val="00155205"/>
    <w:rsid w:val="0016797F"/>
    <w:rsid w:val="00180B3C"/>
    <w:rsid w:val="001A6B62"/>
    <w:rsid w:val="001B116E"/>
    <w:rsid w:val="001B49BF"/>
    <w:rsid w:val="001C0687"/>
    <w:rsid w:val="001C406A"/>
    <w:rsid w:val="001E5D04"/>
    <w:rsid w:val="00202228"/>
    <w:rsid w:val="00233F0A"/>
    <w:rsid w:val="0023705E"/>
    <w:rsid w:val="00282C4A"/>
    <w:rsid w:val="002A5F2B"/>
    <w:rsid w:val="002D526C"/>
    <w:rsid w:val="00326E82"/>
    <w:rsid w:val="00332402"/>
    <w:rsid w:val="00346982"/>
    <w:rsid w:val="00361980"/>
    <w:rsid w:val="00372B98"/>
    <w:rsid w:val="00382DE0"/>
    <w:rsid w:val="003A5C64"/>
    <w:rsid w:val="003D5616"/>
    <w:rsid w:val="003E56BF"/>
    <w:rsid w:val="00443D7A"/>
    <w:rsid w:val="004476B2"/>
    <w:rsid w:val="004A1D3B"/>
    <w:rsid w:val="00523F23"/>
    <w:rsid w:val="00524FFD"/>
    <w:rsid w:val="00526D66"/>
    <w:rsid w:val="00546C48"/>
    <w:rsid w:val="00564500"/>
    <w:rsid w:val="005868C5"/>
    <w:rsid w:val="005924B8"/>
    <w:rsid w:val="005D221A"/>
    <w:rsid w:val="005D345D"/>
    <w:rsid w:val="005E57D7"/>
    <w:rsid w:val="005F39C6"/>
    <w:rsid w:val="005F4C83"/>
    <w:rsid w:val="006178EC"/>
    <w:rsid w:val="00635C0A"/>
    <w:rsid w:val="0064120E"/>
    <w:rsid w:val="00672AAC"/>
    <w:rsid w:val="006B4FA4"/>
    <w:rsid w:val="007101FE"/>
    <w:rsid w:val="00715A49"/>
    <w:rsid w:val="00757182"/>
    <w:rsid w:val="007968C5"/>
    <w:rsid w:val="007A5245"/>
    <w:rsid w:val="00802573"/>
    <w:rsid w:val="008105C8"/>
    <w:rsid w:val="00832B48"/>
    <w:rsid w:val="00853D8F"/>
    <w:rsid w:val="00866D64"/>
    <w:rsid w:val="0087629B"/>
    <w:rsid w:val="0088234D"/>
    <w:rsid w:val="0088461C"/>
    <w:rsid w:val="0088528B"/>
    <w:rsid w:val="00892740"/>
    <w:rsid w:val="00892CB8"/>
    <w:rsid w:val="008B03B8"/>
    <w:rsid w:val="008D234E"/>
    <w:rsid w:val="008D33C9"/>
    <w:rsid w:val="00915D78"/>
    <w:rsid w:val="00923BAD"/>
    <w:rsid w:val="0093709F"/>
    <w:rsid w:val="0095556C"/>
    <w:rsid w:val="00984E80"/>
    <w:rsid w:val="00993A62"/>
    <w:rsid w:val="00A80D51"/>
    <w:rsid w:val="00AD0CAE"/>
    <w:rsid w:val="00AD3BE1"/>
    <w:rsid w:val="00AF0FD3"/>
    <w:rsid w:val="00B036A4"/>
    <w:rsid w:val="00B344C7"/>
    <w:rsid w:val="00B43AC1"/>
    <w:rsid w:val="00B43B4A"/>
    <w:rsid w:val="00B704F0"/>
    <w:rsid w:val="00BC3FC6"/>
    <w:rsid w:val="00BD65C2"/>
    <w:rsid w:val="00BE0B6C"/>
    <w:rsid w:val="00BF15B3"/>
    <w:rsid w:val="00C03FDF"/>
    <w:rsid w:val="00C32D81"/>
    <w:rsid w:val="00C33C93"/>
    <w:rsid w:val="00C34229"/>
    <w:rsid w:val="00C540F4"/>
    <w:rsid w:val="00C618AA"/>
    <w:rsid w:val="00C9541F"/>
    <w:rsid w:val="00CB014C"/>
    <w:rsid w:val="00CB5F57"/>
    <w:rsid w:val="00CC1603"/>
    <w:rsid w:val="00CD57A0"/>
    <w:rsid w:val="00CE0B4F"/>
    <w:rsid w:val="00CF5176"/>
    <w:rsid w:val="00D042CE"/>
    <w:rsid w:val="00D046F0"/>
    <w:rsid w:val="00D12484"/>
    <w:rsid w:val="00D1316D"/>
    <w:rsid w:val="00D13E8A"/>
    <w:rsid w:val="00D27A0F"/>
    <w:rsid w:val="00D333E9"/>
    <w:rsid w:val="00D415D3"/>
    <w:rsid w:val="00D50082"/>
    <w:rsid w:val="00D63461"/>
    <w:rsid w:val="00D918AB"/>
    <w:rsid w:val="00E11CBE"/>
    <w:rsid w:val="00E56A28"/>
    <w:rsid w:val="00E76AEB"/>
    <w:rsid w:val="00E83280"/>
    <w:rsid w:val="00EA136C"/>
    <w:rsid w:val="00EC6640"/>
    <w:rsid w:val="00ED02B4"/>
    <w:rsid w:val="00ED4C55"/>
    <w:rsid w:val="00EF5B36"/>
    <w:rsid w:val="00EF6D68"/>
    <w:rsid w:val="00F1662E"/>
    <w:rsid w:val="00F34E5C"/>
    <w:rsid w:val="00FD2B34"/>
    <w:rsid w:val="00FD358D"/>
    <w:rsid w:val="00FD3679"/>
    <w:rsid w:val="00FE4AC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1F859"/>
  <w15:docId w15:val="{4A078183-24CE-4B93-BCC4-FB0909410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5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qFormat/>
    <w:rsid w:val="00135E48"/>
    <w:pPr>
      <w:framePr w:hSpace="180" w:wrap="around" w:vAnchor="text" w:hAnchor="margin" w:y="-31"/>
      <w:spacing w:after="0" w:line="240" w:lineRule="auto"/>
      <w:jc w:val="center"/>
    </w:pPr>
    <w:rPr>
      <w:rFonts w:ascii="Book Antiqua" w:hAnsi="Book Antiqua" w:cstheme="majorBidi"/>
      <w:sz w:val="24"/>
      <w:szCs w:val="24"/>
    </w:rPr>
  </w:style>
  <w:style w:type="table" w:styleId="TableGrid">
    <w:name w:val="Table Grid"/>
    <w:basedOn w:val="TableNormal"/>
    <w:uiPriority w:val="59"/>
    <w:rsid w:val="00372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16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662E"/>
    <w:rPr>
      <w:rFonts w:ascii="Tahoma" w:hAnsi="Tahoma" w:cs="Tahoma"/>
      <w:sz w:val="16"/>
      <w:szCs w:val="16"/>
    </w:rPr>
  </w:style>
  <w:style w:type="paragraph" w:styleId="Header">
    <w:name w:val="header"/>
    <w:basedOn w:val="Normal"/>
    <w:link w:val="HeaderChar"/>
    <w:uiPriority w:val="99"/>
    <w:unhideWhenUsed/>
    <w:rsid w:val="00180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B3C"/>
  </w:style>
  <w:style w:type="paragraph" w:styleId="Footer">
    <w:name w:val="footer"/>
    <w:basedOn w:val="Normal"/>
    <w:link w:val="FooterChar"/>
    <w:uiPriority w:val="99"/>
    <w:unhideWhenUsed/>
    <w:rsid w:val="00180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B3C"/>
  </w:style>
  <w:style w:type="paragraph" w:styleId="Title">
    <w:name w:val="Title"/>
    <w:aliases w:val="Judul Artikel"/>
    <w:basedOn w:val="Normal"/>
    <w:link w:val="TitleChar"/>
    <w:uiPriority w:val="10"/>
    <w:qFormat/>
    <w:rsid w:val="00EA136C"/>
    <w:pPr>
      <w:spacing w:after="0" w:line="240" w:lineRule="auto"/>
      <w:contextualSpacing/>
      <w:jc w:val="center"/>
    </w:pPr>
    <w:rPr>
      <w:rFonts w:asciiTheme="majorBidi" w:eastAsiaTheme="majorEastAsia" w:hAnsiTheme="majorBidi" w:cstheme="majorBidi"/>
      <w:b/>
      <w:spacing w:val="-10"/>
      <w:kern w:val="28"/>
      <w:sz w:val="28"/>
      <w:szCs w:val="56"/>
    </w:rPr>
  </w:style>
  <w:style w:type="character" w:customStyle="1" w:styleId="TitleChar">
    <w:name w:val="Title Char"/>
    <w:aliases w:val="Judul Artikel Char"/>
    <w:basedOn w:val="DefaultParagraphFont"/>
    <w:link w:val="Title"/>
    <w:uiPriority w:val="10"/>
    <w:rsid w:val="00EA136C"/>
    <w:rPr>
      <w:rFonts w:asciiTheme="majorBidi" w:eastAsiaTheme="majorEastAsia" w:hAnsiTheme="majorBidi" w:cstheme="majorBidi"/>
      <w:b/>
      <w:spacing w:val="-10"/>
      <w:kern w:val="28"/>
      <w:sz w:val="28"/>
      <w:szCs w:val="56"/>
    </w:rPr>
  </w:style>
  <w:style w:type="paragraph" w:customStyle="1" w:styleId="Penulis">
    <w:name w:val="Penulis"/>
    <w:basedOn w:val="Normal"/>
    <w:link w:val="PenulisChar"/>
    <w:qFormat/>
    <w:rsid w:val="00AF0FD3"/>
    <w:pPr>
      <w:spacing w:after="0" w:line="240" w:lineRule="auto"/>
      <w:ind w:right="9"/>
      <w:jc w:val="center"/>
    </w:pPr>
    <w:rPr>
      <w:rFonts w:asciiTheme="majorBidi" w:hAnsiTheme="majorBidi" w:cstheme="majorBidi"/>
      <w:b/>
      <w:bCs/>
      <w:sz w:val="24"/>
      <w:szCs w:val="24"/>
      <w:lang w:val="en-US"/>
    </w:rPr>
  </w:style>
  <w:style w:type="paragraph" w:customStyle="1" w:styleId="Penuliske2">
    <w:name w:val="Penulis ke 2"/>
    <w:basedOn w:val="Normal"/>
    <w:link w:val="Penuliske2Char"/>
    <w:qFormat/>
    <w:rsid w:val="00AF0FD3"/>
    <w:pPr>
      <w:spacing w:after="0" w:line="240" w:lineRule="auto"/>
      <w:jc w:val="center"/>
    </w:pPr>
    <w:rPr>
      <w:rFonts w:asciiTheme="majorBidi" w:hAnsiTheme="majorBidi" w:cstheme="majorBidi"/>
      <w:b/>
      <w:sz w:val="24"/>
      <w:szCs w:val="24"/>
      <w:lang w:val="en-US"/>
    </w:rPr>
  </w:style>
  <w:style w:type="character" w:customStyle="1" w:styleId="PenulisChar">
    <w:name w:val="Penulis Char"/>
    <w:basedOn w:val="DefaultParagraphFont"/>
    <w:link w:val="Penulis"/>
    <w:rsid w:val="00AF0FD3"/>
    <w:rPr>
      <w:rFonts w:asciiTheme="majorBidi" w:hAnsiTheme="majorBidi" w:cstheme="majorBidi"/>
      <w:b/>
      <w:bCs/>
      <w:sz w:val="24"/>
      <w:szCs w:val="24"/>
      <w:lang w:val="en-US"/>
    </w:rPr>
  </w:style>
  <w:style w:type="paragraph" w:customStyle="1" w:styleId="AfiliasiPenulis1">
    <w:name w:val="Afiliasi Penulis 1"/>
    <w:basedOn w:val="Normal"/>
    <w:link w:val="AfiliasiPenulis1Char"/>
    <w:qFormat/>
    <w:rsid w:val="00AF0FD3"/>
    <w:pPr>
      <w:spacing w:after="0" w:line="240" w:lineRule="auto"/>
      <w:jc w:val="center"/>
    </w:pPr>
    <w:rPr>
      <w:rFonts w:asciiTheme="majorBidi" w:hAnsiTheme="majorBidi" w:cstheme="majorBidi"/>
      <w:sz w:val="24"/>
      <w:szCs w:val="24"/>
      <w:vertAlign w:val="superscript"/>
      <w:lang w:val="en-US"/>
    </w:rPr>
  </w:style>
  <w:style w:type="character" w:customStyle="1" w:styleId="Penuliske2Char">
    <w:name w:val="Penulis ke 2 Char"/>
    <w:basedOn w:val="DefaultParagraphFont"/>
    <w:link w:val="Penuliske2"/>
    <w:rsid w:val="00AF0FD3"/>
    <w:rPr>
      <w:rFonts w:asciiTheme="majorBidi" w:hAnsiTheme="majorBidi" w:cstheme="majorBidi"/>
      <w:b/>
      <w:sz w:val="24"/>
      <w:szCs w:val="24"/>
      <w:lang w:val="en-US"/>
    </w:rPr>
  </w:style>
  <w:style w:type="paragraph" w:customStyle="1" w:styleId="AfiliasiPenuliske2">
    <w:name w:val="Afiliasi Penuliske 2"/>
    <w:basedOn w:val="Normal"/>
    <w:link w:val="AfiliasiPenuliske2Char"/>
    <w:qFormat/>
    <w:rsid w:val="00AF0FD3"/>
    <w:pPr>
      <w:spacing w:after="0" w:line="240" w:lineRule="auto"/>
      <w:jc w:val="center"/>
    </w:pPr>
    <w:rPr>
      <w:rFonts w:asciiTheme="majorBidi" w:hAnsiTheme="majorBidi" w:cstheme="majorBidi"/>
      <w:sz w:val="24"/>
      <w:szCs w:val="24"/>
      <w:vertAlign w:val="superscript"/>
      <w:lang w:val="en-US"/>
    </w:rPr>
  </w:style>
  <w:style w:type="character" w:customStyle="1" w:styleId="AfiliasiPenulis1Char">
    <w:name w:val="Afiliasi Penulis 1 Char"/>
    <w:basedOn w:val="DefaultParagraphFont"/>
    <w:link w:val="AfiliasiPenulis1"/>
    <w:rsid w:val="00AF0FD3"/>
    <w:rPr>
      <w:rFonts w:asciiTheme="majorBidi" w:hAnsiTheme="majorBidi" w:cstheme="majorBidi"/>
      <w:sz w:val="24"/>
      <w:szCs w:val="24"/>
      <w:vertAlign w:val="superscript"/>
      <w:lang w:val="en-US"/>
    </w:rPr>
  </w:style>
  <w:style w:type="paragraph" w:customStyle="1" w:styleId="EmailPenulis">
    <w:name w:val="Email Penulis"/>
    <w:basedOn w:val="Normal"/>
    <w:link w:val="EmailPenulisChar"/>
    <w:qFormat/>
    <w:rsid w:val="00AF0FD3"/>
    <w:pPr>
      <w:spacing w:after="0" w:line="240" w:lineRule="auto"/>
      <w:jc w:val="center"/>
    </w:pPr>
    <w:rPr>
      <w:rFonts w:asciiTheme="majorBidi" w:hAnsiTheme="majorBidi" w:cstheme="majorBidi"/>
      <w:sz w:val="24"/>
      <w:szCs w:val="24"/>
      <w:lang w:val="en-US"/>
    </w:rPr>
  </w:style>
  <w:style w:type="character" w:customStyle="1" w:styleId="AfiliasiPenuliske2Char">
    <w:name w:val="Afiliasi Penuliske 2 Char"/>
    <w:basedOn w:val="DefaultParagraphFont"/>
    <w:link w:val="AfiliasiPenuliske2"/>
    <w:rsid w:val="00AF0FD3"/>
    <w:rPr>
      <w:rFonts w:asciiTheme="majorBidi" w:hAnsiTheme="majorBidi" w:cstheme="majorBidi"/>
      <w:sz w:val="24"/>
      <w:szCs w:val="24"/>
      <w:vertAlign w:val="superscript"/>
      <w:lang w:val="en-US"/>
    </w:rPr>
  </w:style>
  <w:style w:type="paragraph" w:customStyle="1" w:styleId="AbstractBInggris">
    <w:name w:val="Abstract B.Inggris"/>
    <w:basedOn w:val="Normal"/>
    <w:link w:val="AbstractBInggrisChar"/>
    <w:qFormat/>
    <w:rsid w:val="00AF0FD3"/>
    <w:pPr>
      <w:spacing w:after="0" w:line="240" w:lineRule="auto"/>
      <w:jc w:val="center"/>
    </w:pPr>
    <w:rPr>
      <w:rFonts w:ascii="Book Antiqua" w:hAnsi="Book Antiqua" w:cstheme="majorBidi"/>
      <w:b/>
      <w:bCs/>
      <w:sz w:val="24"/>
      <w:szCs w:val="24"/>
    </w:rPr>
  </w:style>
  <w:style w:type="character" w:customStyle="1" w:styleId="EmailPenulisChar">
    <w:name w:val="Email Penulis Char"/>
    <w:basedOn w:val="DefaultParagraphFont"/>
    <w:link w:val="EmailPenulis"/>
    <w:rsid w:val="00AF0FD3"/>
    <w:rPr>
      <w:rFonts w:asciiTheme="majorBidi" w:hAnsiTheme="majorBidi" w:cstheme="majorBidi"/>
      <w:sz w:val="24"/>
      <w:szCs w:val="24"/>
      <w:lang w:val="en-US"/>
    </w:rPr>
  </w:style>
  <w:style w:type="paragraph" w:customStyle="1" w:styleId="Paragraphabstract">
    <w:name w:val="Paragraph abstract"/>
    <w:basedOn w:val="Normal"/>
    <w:link w:val="ParagraphabstractChar"/>
    <w:qFormat/>
    <w:rsid w:val="00AF0FD3"/>
    <w:pPr>
      <w:spacing w:after="0" w:line="240" w:lineRule="auto"/>
      <w:jc w:val="both"/>
    </w:pPr>
    <w:rPr>
      <w:rFonts w:ascii="Book Antiqua" w:hAnsi="Book Antiqua" w:cstheme="majorBidi"/>
      <w:sz w:val="24"/>
      <w:szCs w:val="24"/>
    </w:rPr>
  </w:style>
  <w:style w:type="character" w:customStyle="1" w:styleId="AbstractBInggrisChar">
    <w:name w:val="Abstract B.Inggris Char"/>
    <w:basedOn w:val="DefaultParagraphFont"/>
    <w:link w:val="AbstractBInggris"/>
    <w:rsid w:val="00AF0FD3"/>
    <w:rPr>
      <w:rFonts w:ascii="Book Antiqua" w:hAnsi="Book Antiqua" w:cstheme="majorBidi"/>
      <w:b/>
      <w:bCs/>
      <w:sz w:val="24"/>
      <w:szCs w:val="24"/>
    </w:rPr>
  </w:style>
  <w:style w:type="paragraph" w:customStyle="1" w:styleId="KeywordAbstract">
    <w:name w:val="Keyword Abstract"/>
    <w:basedOn w:val="Normal"/>
    <w:link w:val="KeywordAbstractChar"/>
    <w:qFormat/>
    <w:rsid w:val="00AF0FD3"/>
    <w:pPr>
      <w:spacing w:after="0" w:line="240" w:lineRule="auto"/>
      <w:jc w:val="both"/>
    </w:pPr>
    <w:rPr>
      <w:rFonts w:ascii="Book Antiqua" w:hAnsi="Book Antiqua" w:cstheme="majorBidi"/>
      <w:b/>
      <w:bCs/>
      <w:sz w:val="24"/>
      <w:szCs w:val="24"/>
    </w:rPr>
  </w:style>
  <w:style w:type="character" w:customStyle="1" w:styleId="ParagraphabstractChar">
    <w:name w:val="Paragraph abstract Char"/>
    <w:basedOn w:val="DefaultParagraphFont"/>
    <w:link w:val="Paragraphabstract"/>
    <w:rsid w:val="00AF0FD3"/>
    <w:rPr>
      <w:rFonts w:ascii="Book Antiqua" w:hAnsi="Book Antiqua" w:cstheme="majorBidi"/>
      <w:sz w:val="24"/>
      <w:szCs w:val="24"/>
    </w:rPr>
  </w:style>
  <w:style w:type="paragraph" w:customStyle="1" w:styleId="AbstrakIndo">
    <w:name w:val="Abstrak Indo"/>
    <w:basedOn w:val="Normal"/>
    <w:link w:val="AbstrakIndoChar"/>
    <w:qFormat/>
    <w:rsid w:val="00AF0FD3"/>
    <w:pPr>
      <w:spacing w:after="0" w:line="240" w:lineRule="auto"/>
      <w:jc w:val="center"/>
    </w:pPr>
    <w:rPr>
      <w:rFonts w:ascii="Book Antiqua" w:hAnsi="Book Antiqua" w:cstheme="majorBidi"/>
      <w:b/>
      <w:bCs/>
      <w:sz w:val="24"/>
      <w:szCs w:val="24"/>
    </w:rPr>
  </w:style>
  <w:style w:type="character" w:customStyle="1" w:styleId="KeywordAbstractChar">
    <w:name w:val="Keyword Abstract Char"/>
    <w:basedOn w:val="DefaultParagraphFont"/>
    <w:link w:val="KeywordAbstract"/>
    <w:rsid w:val="00AF0FD3"/>
    <w:rPr>
      <w:rFonts w:ascii="Book Antiqua" w:hAnsi="Book Antiqua" w:cstheme="majorBidi"/>
      <w:b/>
      <w:bCs/>
      <w:sz w:val="24"/>
      <w:szCs w:val="24"/>
    </w:rPr>
  </w:style>
  <w:style w:type="paragraph" w:customStyle="1" w:styleId="ParagrahAbstractIndo">
    <w:name w:val="Paragrah Abstract Indo"/>
    <w:basedOn w:val="Normal"/>
    <w:link w:val="ParagrahAbstractIndoChar"/>
    <w:qFormat/>
    <w:rsid w:val="00AF0FD3"/>
    <w:pPr>
      <w:spacing w:after="0" w:line="240" w:lineRule="auto"/>
      <w:jc w:val="both"/>
    </w:pPr>
    <w:rPr>
      <w:rFonts w:ascii="Book Antiqua" w:hAnsi="Book Antiqua" w:cstheme="majorBidi"/>
      <w:sz w:val="24"/>
      <w:szCs w:val="24"/>
    </w:rPr>
  </w:style>
  <w:style w:type="character" w:customStyle="1" w:styleId="AbstrakIndoChar">
    <w:name w:val="Abstrak Indo Char"/>
    <w:basedOn w:val="DefaultParagraphFont"/>
    <w:link w:val="AbstrakIndo"/>
    <w:rsid w:val="00AF0FD3"/>
    <w:rPr>
      <w:rFonts w:ascii="Book Antiqua" w:hAnsi="Book Antiqua" w:cstheme="majorBidi"/>
      <w:b/>
      <w:bCs/>
      <w:sz w:val="24"/>
      <w:szCs w:val="24"/>
    </w:rPr>
  </w:style>
  <w:style w:type="paragraph" w:customStyle="1" w:styleId="PENDAHULUAN">
    <w:name w:val="PENDAHULUAN"/>
    <w:basedOn w:val="Normal"/>
    <w:link w:val="PENDAHULUANChar"/>
    <w:qFormat/>
    <w:rsid w:val="005F4C83"/>
    <w:pPr>
      <w:spacing w:after="0" w:line="276" w:lineRule="auto"/>
    </w:pPr>
    <w:rPr>
      <w:rFonts w:ascii="Book Antiqua" w:hAnsi="Book Antiqua" w:cstheme="majorBidi"/>
      <w:b/>
      <w:bCs/>
      <w:sz w:val="24"/>
      <w:szCs w:val="24"/>
    </w:rPr>
  </w:style>
  <w:style w:type="character" w:customStyle="1" w:styleId="ParagrahAbstractIndoChar">
    <w:name w:val="Paragrah Abstract Indo Char"/>
    <w:basedOn w:val="DefaultParagraphFont"/>
    <w:link w:val="ParagrahAbstractIndo"/>
    <w:rsid w:val="00AF0FD3"/>
    <w:rPr>
      <w:rFonts w:ascii="Book Antiqua" w:hAnsi="Book Antiqua" w:cstheme="majorBidi"/>
      <w:sz w:val="24"/>
      <w:szCs w:val="24"/>
    </w:rPr>
  </w:style>
  <w:style w:type="paragraph" w:customStyle="1" w:styleId="Paragraph1">
    <w:name w:val="Paragraph 1"/>
    <w:aliases w:val="15"/>
    <w:basedOn w:val="Normal"/>
    <w:link w:val="Paragraph1Char"/>
    <w:qFormat/>
    <w:rsid w:val="005F4C83"/>
    <w:pPr>
      <w:spacing w:after="0" w:line="276" w:lineRule="auto"/>
      <w:ind w:firstLine="720"/>
      <w:jc w:val="both"/>
    </w:pPr>
    <w:rPr>
      <w:rFonts w:ascii="Book Antiqua" w:hAnsi="Book Antiqua" w:cstheme="majorHAnsi"/>
      <w:sz w:val="24"/>
      <w:szCs w:val="24"/>
      <w:lang w:val="en-US"/>
    </w:rPr>
  </w:style>
  <w:style w:type="character" w:customStyle="1" w:styleId="PENDAHULUANChar">
    <w:name w:val="PENDAHULUAN Char"/>
    <w:basedOn w:val="DefaultParagraphFont"/>
    <w:link w:val="PENDAHULUAN"/>
    <w:rsid w:val="005F4C83"/>
    <w:rPr>
      <w:rFonts w:ascii="Book Antiqua" w:hAnsi="Book Antiqua" w:cstheme="majorBidi"/>
      <w:b/>
      <w:bCs/>
      <w:sz w:val="24"/>
      <w:szCs w:val="24"/>
    </w:rPr>
  </w:style>
  <w:style w:type="paragraph" w:customStyle="1" w:styleId="MetodePenelitian">
    <w:name w:val="Metode Penelitian"/>
    <w:basedOn w:val="PENDAHULUAN"/>
    <w:link w:val="MetodePenelitianChar"/>
    <w:qFormat/>
    <w:rsid w:val="00993A62"/>
  </w:style>
  <w:style w:type="character" w:customStyle="1" w:styleId="Paragraph1Char">
    <w:name w:val="Paragraph 1 Char"/>
    <w:aliases w:val="15 Char"/>
    <w:basedOn w:val="DefaultParagraphFont"/>
    <w:link w:val="Paragraph1"/>
    <w:rsid w:val="005F4C83"/>
    <w:rPr>
      <w:rFonts w:ascii="Book Antiqua" w:hAnsi="Book Antiqua" w:cstheme="majorHAnsi"/>
      <w:sz w:val="24"/>
      <w:szCs w:val="24"/>
      <w:lang w:val="en-US"/>
    </w:rPr>
  </w:style>
  <w:style w:type="paragraph" w:customStyle="1" w:styleId="JudulTabel">
    <w:name w:val="Judul Tabel"/>
    <w:link w:val="JudulTabelChar"/>
    <w:qFormat/>
    <w:rsid w:val="00993A62"/>
    <w:pPr>
      <w:spacing w:after="0" w:line="240" w:lineRule="auto"/>
      <w:ind w:firstLine="720"/>
      <w:jc w:val="center"/>
    </w:pPr>
    <w:rPr>
      <w:rFonts w:ascii="Book Antiqua" w:hAnsi="Book Antiqua" w:cstheme="majorBidi"/>
      <w:b/>
      <w:bCs/>
      <w:sz w:val="24"/>
      <w:szCs w:val="24"/>
    </w:rPr>
  </w:style>
  <w:style w:type="character" w:customStyle="1" w:styleId="MetodePenelitianChar">
    <w:name w:val="Metode Penelitian Char"/>
    <w:basedOn w:val="PENDAHULUANChar"/>
    <w:link w:val="MetodePenelitian"/>
    <w:rsid w:val="00993A62"/>
    <w:rPr>
      <w:rFonts w:ascii="Book Antiqua" w:hAnsi="Book Antiqua" w:cstheme="majorBidi"/>
      <w:b/>
      <w:bCs/>
      <w:sz w:val="24"/>
      <w:szCs w:val="24"/>
    </w:rPr>
  </w:style>
  <w:style w:type="paragraph" w:styleId="ListParagraph">
    <w:name w:val="List Paragraph"/>
    <w:basedOn w:val="Normal"/>
    <w:uiPriority w:val="34"/>
    <w:qFormat/>
    <w:rsid w:val="00993A62"/>
    <w:pPr>
      <w:ind w:left="720"/>
      <w:contextualSpacing/>
    </w:pPr>
  </w:style>
  <w:style w:type="character" w:customStyle="1" w:styleId="JudulTabelChar">
    <w:name w:val="Judul Tabel Char"/>
    <w:basedOn w:val="DefaultParagraphFont"/>
    <w:link w:val="JudulTabel"/>
    <w:rsid w:val="00993A62"/>
    <w:rPr>
      <w:rFonts w:ascii="Book Antiqua" w:hAnsi="Book Antiqua" w:cstheme="majorBidi"/>
      <w:b/>
      <w:bCs/>
      <w:sz w:val="24"/>
      <w:szCs w:val="24"/>
    </w:rPr>
  </w:style>
  <w:style w:type="paragraph" w:customStyle="1" w:styleId="Tabulasi">
    <w:name w:val="Tabulasi"/>
    <w:basedOn w:val="ListParagraph"/>
    <w:qFormat/>
    <w:rsid w:val="00135E48"/>
    <w:pPr>
      <w:numPr>
        <w:numId w:val="3"/>
      </w:numPr>
      <w:spacing w:after="0" w:line="240" w:lineRule="auto"/>
      <w:ind w:left="426"/>
    </w:pPr>
    <w:rPr>
      <w:rFonts w:ascii="Book Antiqua" w:hAnsi="Book Antiqua" w:cstheme="majorBidi"/>
      <w:sz w:val="24"/>
      <w:szCs w:val="24"/>
      <w:lang w:val="en-US"/>
    </w:rPr>
  </w:style>
  <w:style w:type="paragraph" w:customStyle="1" w:styleId="ReferenceBuku">
    <w:name w:val="Reference Buku"/>
    <w:basedOn w:val="Normal"/>
    <w:link w:val="ReferenceBukuChar"/>
    <w:qFormat/>
    <w:rsid w:val="00135E48"/>
    <w:pPr>
      <w:tabs>
        <w:tab w:val="left" w:pos="7725"/>
      </w:tabs>
      <w:spacing w:line="240" w:lineRule="auto"/>
      <w:ind w:left="567" w:hanging="567"/>
    </w:pPr>
    <w:rPr>
      <w:rFonts w:ascii="Book Antiqua" w:hAnsi="Book Antiqua" w:cstheme="majorBidi"/>
      <w:sz w:val="24"/>
      <w:szCs w:val="24"/>
    </w:rPr>
  </w:style>
  <w:style w:type="paragraph" w:customStyle="1" w:styleId="referencebookreview">
    <w:name w:val="reference book review"/>
    <w:basedOn w:val="Normal"/>
    <w:link w:val="referencebookreviewChar"/>
    <w:qFormat/>
    <w:rsid w:val="00135E48"/>
    <w:pPr>
      <w:tabs>
        <w:tab w:val="left" w:pos="7725"/>
      </w:tabs>
      <w:spacing w:line="240" w:lineRule="auto"/>
      <w:ind w:left="567" w:hanging="567"/>
    </w:pPr>
    <w:rPr>
      <w:rFonts w:ascii="Book Antiqua" w:hAnsi="Book Antiqua" w:cstheme="majorBidi"/>
      <w:sz w:val="24"/>
      <w:szCs w:val="24"/>
      <w:lang w:val="en-US"/>
    </w:rPr>
  </w:style>
  <w:style w:type="character" w:customStyle="1" w:styleId="ReferenceBukuChar">
    <w:name w:val="Reference Buku Char"/>
    <w:basedOn w:val="DefaultParagraphFont"/>
    <w:link w:val="ReferenceBuku"/>
    <w:rsid w:val="00135E48"/>
    <w:rPr>
      <w:rFonts w:ascii="Book Antiqua" w:hAnsi="Book Antiqua" w:cstheme="majorBidi"/>
      <w:sz w:val="24"/>
      <w:szCs w:val="24"/>
    </w:rPr>
  </w:style>
  <w:style w:type="paragraph" w:customStyle="1" w:styleId="RefrenceJurnal">
    <w:name w:val="Refrence Jurnal"/>
    <w:basedOn w:val="Normal"/>
    <w:link w:val="RefrenceJurnalChar"/>
    <w:qFormat/>
    <w:rsid w:val="00135E48"/>
    <w:pPr>
      <w:tabs>
        <w:tab w:val="left" w:pos="7725"/>
      </w:tabs>
      <w:spacing w:line="240" w:lineRule="auto"/>
      <w:ind w:left="567" w:hanging="567"/>
    </w:pPr>
    <w:rPr>
      <w:rFonts w:ascii="Book Antiqua" w:hAnsi="Book Antiqua" w:cstheme="majorBidi"/>
      <w:sz w:val="24"/>
      <w:szCs w:val="24"/>
    </w:rPr>
  </w:style>
  <w:style w:type="character" w:customStyle="1" w:styleId="referencebookreviewChar">
    <w:name w:val="reference book review Char"/>
    <w:basedOn w:val="DefaultParagraphFont"/>
    <w:link w:val="referencebookreview"/>
    <w:rsid w:val="00135E48"/>
    <w:rPr>
      <w:rFonts w:ascii="Book Antiqua" w:hAnsi="Book Antiqua" w:cstheme="majorBidi"/>
      <w:sz w:val="24"/>
      <w:szCs w:val="24"/>
      <w:lang w:val="en-US"/>
    </w:rPr>
  </w:style>
  <w:style w:type="character" w:customStyle="1" w:styleId="RefrenceJurnalChar">
    <w:name w:val="Refrence Jurnal Char"/>
    <w:basedOn w:val="DefaultParagraphFont"/>
    <w:link w:val="RefrenceJurnal"/>
    <w:rsid w:val="00135E48"/>
    <w:rPr>
      <w:rFonts w:ascii="Book Antiqua" w:hAnsi="Book Antiqua" w:cstheme="majorBidi"/>
      <w:sz w:val="24"/>
      <w:szCs w:val="24"/>
    </w:rPr>
  </w:style>
  <w:style w:type="character" w:styleId="Hyperlink">
    <w:name w:val="Hyperlink"/>
    <w:basedOn w:val="DefaultParagraphFont"/>
    <w:uiPriority w:val="99"/>
    <w:unhideWhenUsed/>
    <w:rsid w:val="00D333E9"/>
    <w:rPr>
      <w:color w:val="0563C1" w:themeColor="hyperlink"/>
      <w:u w:val="single"/>
    </w:rPr>
  </w:style>
  <w:style w:type="character" w:styleId="UnresolvedMention">
    <w:name w:val="Unresolved Mention"/>
    <w:basedOn w:val="DefaultParagraphFont"/>
    <w:uiPriority w:val="99"/>
    <w:semiHidden/>
    <w:unhideWhenUsed/>
    <w:rsid w:val="00D333E9"/>
    <w:rPr>
      <w:color w:val="605E5C"/>
      <w:shd w:val="clear" w:color="auto" w:fill="E1DFDD"/>
    </w:rPr>
  </w:style>
  <w:style w:type="paragraph" w:styleId="FootnoteText">
    <w:name w:val="footnote text"/>
    <w:basedOn w:val="Normal"/>
    <w:link w:val="FootnoteTextChar"/>
    <w:uiPriority w:val="99"/>
    <w:semiHidden/>
    <w:unhideWhenUsed/>
    <w:rsid w:val="00F34E5C"/>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F34E5C"/>
    <w:rPr>
      <w:kern w:val="2"/>
      <w:sz w:val="20"/>
      <w:szCs w:val="20"/>
      <w14:ligatures w14:val="standardContextual"/>
    </w:rPr>
  </w:style>
  <w:style w:type="character" w:styleId="FootnoteReference">
    <w:name w:val="footnote reference"/>
    <w:basedOn w:val="DefaultParagraphFont"/>
    <w:uiPriority w:val="99"/>
    <w:semiHidden/>
    <w:unhideWhenUsed/>
    <w:rsid w:val="00F34E5C"/>
    <w:rPr>
      <w:vertAlign w:val="superscript"/>
    </w:rPr>
  </w:style>
  <w:style w:type="paragraph" w:styleId="Bibliography">
    <w:name w:val="Bibliography"/>
    <w:basedOn w:val="Normal"/>
    <w:next w:val="Normal"/>
    <w:uiPriority w:val="37"/>
    <w:unhideWhenUsed/>
    <w:rsid w:val="00003B3A"/>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ilanasywa284@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gar@uinsu.ac.id" TargetMode="External"/><Relationship Id="rId4" Type="http://schemas.openxmlformats.org/officeDocument/2006/relationships/settings" Target="settings.xml"/><Relationship Id="rId9" Type="http://schemas.openxmlformats.org/officeDocument/2006/relationships/hyperlink" Target="mailto:zulkarnain@uinsu.ac.i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EEE65-EBEF-435F-BC8F-7745375D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9633</Words>
  <Characters>54910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Reviewer j</cp:lastModifiedBy>
  <cp:revision>14</cp:revision>
  <cp:lastPrinted>2026-09-08T02:22:00Z</cp:lastPrinted>
  <dcterms:created xsi:type="dcterms:W3CDTF">2026-06-17T04:41:00Z</dcterms:created>
  <dcterms:modified xsi:type="dcterms:W3CDTF">2026-09-08T02:22:00Z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id="9jE0lpsU"/&gt;&lt;style id="http://www.zotero.org/styles/apa" locale="id-ID" hasBibliography="1" bibliographyStyleHasBeenSet="1"/&gt;&lt;prefs&gt;&lt;pref name="fieldType" value="Field"/&gt;&lt;/prefs&gt;&lt;/data&gt;</vt:lpwstr>
  </property>
</Properties>
</file>